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C0DB8">
      <w:pPr>
        <w:spacing w:before="146" w:line="219" w:lineRule="auto"/>
        <w:jc w:val="center"/>
        <w:outlineLvl w:val="0"/>
        <w:rPr>
          <w:rFonts w:ascii="宋体" w:hAnsi="宋体" w:eastAsia="宋体" w:cs="宋体"/>
          <w:b/>
          <w:bCs/>
          <w:spacing w:val="5"/>
          <w:sz w:val="35"/>
          <w:szCs w:val="35"/>
        </w:rPr>
      </w:pPr>
      <w:r>
        <w:rPr>
          <w:rFonts w:hint="default" w:ascii="宋体" w:hAnsi="宋体" w:eastAsia="宋体" w:cs="宋体"/>
          <w:b/>
          <w:bCs/>
          <w:spacing w:val="5"/>
          <w:sz w:val="35"/>
          <w:szCs w:val="35"/>
        </w:rPr>
        <w:t>新津</w:t>
      </w:r>
      <w:r>
        <w:rPr>
          <w:rFonts w:hint="default" w:ascii="宋体" w:hAnsi="宋体" w:eastAsia="宋体" w:cs="宋体"/>
          <w:b/>
          <w:bCs/>
          <w:spacing w:val="5"/>
          <w:sz w:val="35"/>
          <w:szCs w:val="35"/>
          <w:lang w:val="en-US" w:eastAsia="zh-CN"/>
        </w:rPr>
        <w:t>区</w:t>
      </w:r>
      <w:r>
        <w:rPr>
          <w:rFonts w:hint="default" w:ascii="宋体" w:hAnsi="宋体" w:eastAsia="宋体" w:cs="宋体"/>
          <w:b/>
          <w:bCs/>
          <w:spacing w:val="5"/>
          <w:sz w:val="35"/>
          <w:szCs w:val="35"/>
        </w:rPr>
        <w:t>太平老旧街区提升改造项目</w:t>
      </w:r>
    </w:p>
    <w:p w14:paraId="4B418BBD">
      <w:pPr>
        <w:spacing w:before="146" w:line="219" w:lineRule="auto"/>
        <w:ind w:left="3491"/>
        <w:outlineLvl w:val="0"/>
        <w:rPr>
          <w:rFonts w:ascii="宋体" w:hAnsi="宋体" w:eastAsia="宋体" w:cs="宋体"/>
          <w:sz w:val="35"/>
          <w:szCs w:val="35"/>
        </w:rPr>
      </w:pPr>
      <w:r>
        <w:rPr>
          <w:rFonts w:ascii="宋体" w:hAnsi="宋体" w:eastAsia="宋体" w:cs="宋体"/>
          <w:b/>
          <w:bCs/>
          <w:spacing w:val="5"/>
          <w:sz w:val="35"/>
          <w:szCs w:val="35"/>
        </w:rPr>
        <w:t>项目情况</w:t>
      </w:r>
    </w:p>
    <w:p w14:paraId="24DC3492">
      <w:pPr>
        <w:spacing w:before="207" w:line="227" w:lineRule="auto"/>
        <w:ind w:left="708"/>
        <w:rPr>
          <w:rFonts w:ascii="黑体" w:hAnsi="黑体" w:eastAsia="黑体" w:cs="黑体"/>
          <w:sz w:val="31"/>
          <w:szCs w:val="31"/>
        </w:rPr>
      </w:pPr>
      <w:r>
        <w:rPr>
          <w:rFonts w:ascii="黑体" w:hAnsi="黑体" w:eastAsia="黑体" w:cs="黑体"/>
          <w:spacing w:val="7"/>
          <w:sz w:val="31"/>
          <w:szCs w:val="31"/>
        </w:rPr>
        <w:t>一、项目基本情况</w:t>
      </w:r>
    </w:p>
    <w:p w14:paraId="35C50D98">
      <w:pPr>
        <w:spacing w:before="218" w:line="231" w:lineRule="auto"/>
        <w:ind w:left="729"/>
        <w:outlineLvl w:val="1"/>
        <w:rPr>
          <w:rFonts w:ascii="楷体" w:hAnsi="楷体" w:eastAsia="楷体" w:cs="楷体"/>
          <w:sz w:val="31"/>
          <w:szCs w:val="31"/>
        </w:rPr>
      </w:pPr>
      <w:r>
        <w:rPr>
          <w:rFonts w:ascii="楷体" w:hAnsi="楷体" w:eastAsia="楷体" w:cs="楷体"/>
          <w:spacing w:val="7"/>
          <w:sz w:val="31"/>
          <w:szCs w:val="31"/>
        </w:rPr>
        <w:t>（一）市县及行业专项规划概况</w:t>
      </w:r>
    </w:p>
    <w:p w14:paraId="4DEFAE30">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pPr>
      <w:r>
        <w:rPr>
          <w:spacing w:val="-4"/>
        </w:rPr>
        <w:t>城市更新是新型城市化背景下推动空间产业转型，保证城市可持续发展的重要选择，是现阶段提高土地利用效率、提升城市综合</w:t>
      </w:r>
      <w:r>
        <w:rPr>
          <w:spacing w:val="1"/>
        </w:rPr>
        <w:t>竞争力、优化城市空间形态、改善宜居环境的重要途径。城市</w:t>
      </w:r>
      <w:r>
        <w:rPr>
          <w:spacing w:val="-7"/>
        </w:rPr>
        <w:t>更新的目的是对城市中某一衰落的区域进行改造、投资和建设，</w:t>
      </w:r>
      <w:r>
        <w:rPr>
          <w:spacing w:val="-5"/>
        </w:rPr>
        <w:t>以全新的城市功能替换功能性衰败的物质空间</w:t>
      </w:r>
      <w:r>
        <w:rPr>
          <w:spacing w:val="-6"/>
        </w:rPr>
        <w:t>，使之重新发展和繁荣，</w:t>
      </w:r>
      <w:r>
        <w:rPr>
          <w:spacing w:val="-4"/>
        </w:rPr>
        <w:t>目标是针对性解决城市中影响甚至阻碍城市发展的城市问题。</w:t>
      </w:r>
      <w:r>
        <w:rPr>
          <w:rFonts w:hint="eastAsia"/>
          <w:spacing w:val="-4"/>
          <w:lang w:val="en-US" w:eastAsia="zh-CN"/>
        </w:rPr>
        <w:t>城市更新</w:t>
      </w:r>
      <w:r>
        <w:rPr>
          <w:spacing w:val="-4"/>
        </w:rPr>
        <w:t>是以新发展理念为引领，以技术创新为驱动，以信息网络为基础，面向高质量发展需要，提供数字转型、智能升级、融合创新等服</w:t>
      </w:r>
      <w:r>
        <w:rPr>
          <w:spacing w:val="-2"/>
        </w:rPr>
        <w:t>务的基础设施体系。</w:t>
      </w:r>
    </w:p>
    <w:p w14:paraId="6A40C985">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spacing w:val="-4"/>
        </w:rPr>
      </w:pPr>
      <w:r>
        <w:rPr>
          <w:spacing w:val="-4"/>
        </w:rPr>
        <w:t>目前</w:t>
      </w:r>
      <w:r>
        <w:rPr>
          <w:rFonts w:hint="eastAsia"/>
          <w:spacing w:val="-4"/>
          <w:lang w:val="en-US" w:eastAsia="zh-CN"/>
        </w:rPr>
        <w:t>黄州会馆和太平</w:t>
      </w:r>
      <w:r>
        <w:rPr>
          <w:spacing w:val="-4"/>
        </w:rPr>
        <w:t>老街部分建筑年久失修，黄州会馆也处于低效利用状态，公共卫生设施和交通配套设施存在不足，急需进行改造提升。</w:t>
      </w:r>
    </w:p>
    <w:p w14:paraId="7B318635">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rFonts w:hint="eastAsia" w:eastAsia="仿宋"/>
          <w:spacing w:val="-4"/>
          <w:lang w:eastAsia="zh-CN"/>
        </w:rPr>
      </w:pPr>
      <w:r>
        <w:rPr>
          <w:spacing w:val="-4"/>
        </w:rPr>
        <w:t>项目拟通过对建筑的修缮维护、基础设施的完善以及公共服务设施的建设，提升居民生活品质</w:t>
      </w:r>
      <w:r>
        <w:rPr>
          <w:rFonts w:hint="eastAsia"/>
          <w:spacing w:val="-4"/>
          <w:lang w:eastAsia="zh-CN"/>
        </w:rPr>
        <w:t>。</w:t>
      </w:r>
    </w:p>
    <w:p w14:paraId="29E0C632">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pPr>
      <w:r>
        <w:rPr>
          <w:spacing w:val="-4"/>
        </w:rPr>
        <w:t>本项目手续完备、前期工作准备充分，项目已具备施工条件。项目未曾发行过专项债，满足发行专项债的项</w:t>
      </w:r>
      <w:r>
        <w:rPr>
          <w:spacing w:val="-5"/>
        </w:rPr>
        <w:t>目资格。</w:t>
      </w:r>
    </w:p>
    <w:p w14:paraId="1B42D6D7">
      <w:pPr>
        <w:spacing w:line="232" w:lineRule="auto"/>
        <w:ind w:left="688"/>
        <w:outlineLvl w:val="1"/>
        <w:rPr>
          <w:rFonts w:ascii="楷体" w:hAnsi="楷体" w:eastAsia="楷体" w:cs="楷体"/>
          <w:sz w:val="31"/>
          <w:szCs w:val="31"/>
        </w:rPr>
      </w:pPr>
      <w:r>
        <w:rPr>
          <w:rFonts w:ascii="楷体" w:hAnsi="楷体" w:eastAsia="楷体" w:cs="楷体"/>
          <w:b/>
          <w:bCs/>
          <w:spacing w:val="2"/>
          <w:sz w:val="31"/>
          <w:szCs w:val="31"/>
        </w:rPr>
        <w:t>（二）项目情况</w:t>
      </w:r>
    </w:p>
    <w:p w14:paraId="1B4CFAE8">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spacing w:val="-4"/>
        </w:rPr>
      </w:pPr>
      <w:r>
        <w:rPr>
          <w:spacing w:val="-4"/>
        </w:rPr>
        <w:t>1 ．参与主体</w:t>
      </w:r>
    </w:p>
    <w:p w14:paraId="45507686">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spacing w:val="-4"/>
        </w:rPr>
      </w:pPr>
      <w:r>
        <w:rPr>
          <w:spacing w:val="-4"/>
        </w:rPr>
        <w:t>（1）项目主管部门</w:t>
      </w:r>
    </w:p>
    <w:p w14:paraId="7B486365">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spacing w:val="-4"/>
        </w:rPr>
      </w:pPr>
      <w:r>
        <w:rPr>
          <w:spacing w:val="-4"/>
        </w:rPr>
        <w:t>成都市</w:t>
      </w:r>
      <w:r>
        <w:rPr>
          <w:rFonts w:hint="eastAsia"/>
          <w:spacing w:val="-4"/>
          <w:lang w:val="en-US" w:eastAsia="zh-CN"/>
        </w:rPr>
        <w:t>新津</w:t>
      </w:r>
      <w:r>
        <w:rPr>
          <w:spacing w:val="-4"/>
        </w:rPr>
        <w:t>区公园城市建设局</w:t>
      </w:r>
    </w:p>
    <w:p w14:paraId="4DA7FAD0">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spacing w:val="-4"/>
        </w:rPr>
      </w:pPr>
      <w:r>
        <w:rPr>
          <w:spacing w:val="-4"/>
        </w:rPr>
        <w:t>（2）项目实施业主</w:t>
      </w:r>
    </w:p>
    <w:p w14:paraId="31B1D984">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rFonts w:hint="eastAsia" w:eastAsia="仿宋"/>
          <w:spacing w:val="-4"/>
          <w:lang w:val="en-US" w:eastAsia="zh-CN"/>
        </w:rPr>
      </w:pPr>
      <w:r>
        <w:rPr>
          <w:spacing w:val="-4"/>
        </w:rPr>
        <w:t>成都市新津文旅投资集团有限公司</w:t>
      </w:r>
      <w:r>
        <w:rPr>
          <w:rFonts w:hint="eastAsia"/>
          <w:spacing w:val="-4"/>
          <w:lang w:eastAsia="zh-CN"/>
        </w:rPr>
        <w:t>。</w:t>
      </w:r>
    </w:p>
    <w:p w14:paraId="2E78EB47">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spacing w:val="-4"/>
        </w:rPr>
      </w:pPr>
      <w:r>
        <w:rPr>
          <w:spacing w:val="-4"/>
        </w:rPr>
        <w:t>成都市新津文旅投资集团有限公司成立于2007年09月03日，注册地位于成都市新津区岷江大道中段，法定代表人为钟宏伟。经营范围包括旅游项目投资（不含金融、期货、证券）；市政基础设施建设；土地整理；房地产开发；文化旅游产品开发及销售；文化旅游项目咨询与策划；企业管理服务；承办会议及展览；广告设计、制作与发布（不含气球广告及固定形式印刷品广告）；票务代理；销售：建辅建材，沙石；苗木种植与销售；旅客运输（取得批准文件或许可证后，按核定的项目和时限经营）。（依法须经批准的项目，经相关部门批准后方可开展经营活动）。成都市新津文旅投资集团有限公司对外投资8家公司。</w:t>
      </w:r>
    </w:p>
    <w:p w14:paraId="113518EE">
      <w:pPr>
        <w:pStyle w:val="2"/>
        <w:spacing w:before="264" w:line="223" w:lineRule="auto"/>
        <w:ind w:left="576"/>
      </w:pPr>
      <w:r>
        <w:rPr>
          <w:rFonts w:ascii="Times New Roman" w:hAnsi="Times New Roman" w:eastAsia="Times New Roman" w:cs="Times New Roman"/>
          <w:spacing w:val="-8"/>
        </w:rPr>
        <w:t>2</w:t>
      </w:r>
      <w:r>
        <w:rPr>
          <w:rFonts w:ascii="Times New Roman" w:hAnsi="Times New Roman" w:eastAsia="Times New Roman" w:cs="Times New Roman"/>
          <w:spacing w:val="-28"/>
        </w:rPr>
        <w:t xml:space="preserve"> </w:t>
      </w:r>
      <w:r>
        <w:rPr>
          <w:spacing w:val="-8"/>
        </w:rPr>
        <w:t>．项目概况</w:t>
      </w:r>
    </w:p>
    <w:p w14:paraId="446799C3">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spacing w:val="-4"/>
        </w:rPr>
      </w:pPr>
      <w:r>
        <w:rPr>
          <w:spacing w:val="-4"/>
        </w:rPr>
        <w:t>（1）建设性质：改建工程</w:t>
      </w:r>
    </w:p>
    <w:p w14:paraId="2300ED9A">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spacing w:val="-4"/>
        </w:rPr>
      </w:pPr>
      <w:r>
        <w:rPr>
          <w:spacing w:val="-4"/>
        </w:rPr>
        <w:t>（2）建设地点：</w:t>
      </w:r>
      <w:r>
        <w:rPr>
          <w:rFonts w:hint="default"/>
          <w:spacing w:val="-4"/>
        </w:rPr>
        <w:t>成都市新津区宝墩镇太平老街片区</w:t>
      </w:r>
      <w:r>
        <w:rPr>
          <w:spacing w:val="-4"/>
        </w:rPr>
        <w:t>。</w:t>
      </w:r>
    </w:p>
    <w:p w14:paraId="71A8EC2D">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spacing w:val="-4"/>
        </w:rPr>
      </w:pPr>
      <w:r>
        <w:rPr>
          <w:spacing w:val="-4"/>
        </w:rPr>
        <w:t>（3）建设周期</w:t>
      </w:r>
      <w:r>
        <w:rPr>
          <w:rFonts w:hint="eastAsia"/>
          <w:spacing w:val="-4"/>
          <w:lang w:eastAsia="zh-CN"/>
        </w:rPr>
        <w:t>：</w:t>
      </w:r>
      <w:r>
        <w:rPr>
          <w:spacing w:val="-4"/>
        </w:rPr>
        <w:t>项目建设</w:t>
      </w:r>
      <w:r>
        <w:rPr>
          <w:rFonts w:hint="eastAsia"/>
          <w:spacing w:val="-4"/>
          <w:lang w:val="en-US" w:eastAsia="zh-CN"/>
        </w:rPr>
        <w:t>工</w:t>
      </w:r>
      <w:r>
        <w:rPr>
          <w:spacing w:val="-4"/>
        </w:rPr>
        <w:t>期共计</w:t>
      </w:r>
      <w:r>
        <w:rPr>
          <w:rFonts w:hint="eastAsia"/>
          <w:spacing w:val="-4"/>
          <w:lang w:val="en-US" w:eastAsia="zh-CN"/>
        </w:rPr>
        <w:t>10</w:t>
      </w:r>
      <w:r>
        <w:rPr>
          <w:spacing w:val="-4"/>
        </w:rPr>
        <w:t>个月，即</w:t>
      </w:r>
      <w:r>
        <w:rPr>
          <w:rFonts w:hint="default"/>
          <w:spacing w:val="-4"/>
          <w:lang w:val="en-US" w:eastAsia="zh-CN"/>
        </w:rPr>
        <w:t>2025年4月—2026年2月</w:t>
      </w:r>
      <w:r>
        <w:rPr>
          <w:spacing w:val="-4"/>
        </w:rPr>
        <w:t>。</w:t>
      </w:r>
    </w:p>
    <w:p w14:paraId="15DD98B0">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spacing w:val="-4"/>
        </w:rPr>
      </w:pPr>
      <w:r>
        <w:rPr>
          <w:spacing w:val="-4"/>
        </w:rPr>
        <w:t>（4）建设内容</w:t>
      </w:r>
    </w:p>
    <w:p w14:paraId="23CBC608">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left"/>
        <w:textAlignment w:val="baseline"/>
        <w:rPr>
          <w:rFonts w:hint="default"/>
          <w:spacing w:val="-4"/>
          <w:lang w:val="en-US" w:eastAsia="zh-CN"/>
        </w:rPr>
      </w:pPr>
      <w:r>
        <w:rPr>
          <w:rFonts w:hint="default"/>
          <w:spacing w:val="-4"/>
          <w:lang w:val="en-US" w:eastAsia="zh-CN"/>
        </w:rPr>
        <w:t>项目分三期进行建设，对长约2000米老旧街区及其周边进行提档升级。其中，项目一期建设内容主要包括对黄州会馆主体进行修缮；项目二期建设内容包括改造太平老街原黄州会馆等供电消防等设施，改造面积约3000m</w:t>
      </w:r>
      <w:r>
        <w:rPr>
          <w:rFonts w:hint="default"/>
          <w:spacing w:val="-4"/>
          <w:vertAlign w:val="superscript"/>
          <w:lang w:val="en-US" w:eastAsia="zh-CN"/>
        </w:rPr>
        <w:t>2</w:t>
      </w:r>
      <w:r>
        <w:rPr>
          <w:rFonts w:hint="default"/>
          <w:spacing w:val="-4"/>
          <w:lang w:val="en-US" w:eastAsia="zh-CN"/>
        </w:rPr>
        <w:t>；项目三期建设内容包括改造周边沥青道路工程约6000m</w:t>
      </w:r>
      <w:r>
        <w:rPr>
          <w:rFonts w:hint="default"/>
          <w:spacing w:val="-4"/>
          <w:vertAlign w:val="superscript"/>
          <w:lang w:val="en-US" w:eastAsia="zh-CN"/>
        </w:rPr>
        <w:t>2</w:t>
      </w:r>
      <w:r>
        <w:rPr>
          <w:rFonts w:hint="default"/>
          <w:spacing w:val="-4"/>
          <w:lang w:val="en-US" w:eastAsia="zh-CN"/>
        </w:rPr>
        <w:t>、照明设施更换1项；增设垃圾收储点3个，改造公共厕所一个；配套建设停车场（停车位约100个）、增设充电桩约30个等公共服务设施。</w:t>
      </w:r>
    </w:p>
    <w:p w14:paraId="7F10E6F6">
      <w:pPr>
        <w:spacing w:before="156" w:line="226" w:lineRule="auto"/>
        <w:ind w:left="667"/>
        <w:rPr>
          <w:rFonts w:ascii="黑体" w:hAnsi="黑体" w:eastAsia="黑体" w:cs="黑体"/>
          <w:sz w:val="31"/>
          <w:szCs w:val="31"/>
        </w:rPr>
      </w:pPr>
      <w:r>
        <w:rPr>
          <w:rFonts w:ascii="黑体" w:hAnsi="黑体" w:eastAsia="黑体" w:cs="黑体"/>
          <w:spacing w:val="8"/>
          <w:sz w:val="31"/>
          <w:szCs w:val="31"/>
        </w:rPr>
        <w:t>二、经济社会效益分析</w:t>
      </w:r>
    </w:p>
    <w:p w14:paraId="0D3A5F9B">
      <w:pPr>
        <w:spacing w:before="219" w:line="231" w:lineRule="auto"/>
        <w:ind w:left="688"/>
        <w:outlineLvl w:val="1"/>
        <w:rPr>
          <w:rFonts w:ascii="楷体" w:hAnsi="楷体" w:eastAsia="楷体" w:cs="楷体"/>
          <w:sz w:val="31"/>
          <w:szCs w:val="31"/>
        </w:rPr>
      </w:pPr>
      <w:r>
        <w:rPr>
          <w:rFonts w:ascii="楷体" w:hAnsi="楷体" w:eastAsia="楷体" w:cs="楷体"/>
          <w:spacing w:val="5"/>
          <w:sz w:val="31"/>
          <w:szCs w:val="31"/>
        </w:rPr>
        <w:t>（一）经济社会效益</w:t>
      </w:r>
    </w:p>
    <w:p w14:paraId="2B1FBBF6">
      <w:pPr>
        <w:pStyle w:val="2"/>
        <w:spacing w:before="262" w:line="395" w:lineRule="auto"/>
        <w:ind w:left="43" w:right="103" w:firstLine="547"/>
        <w:rPr>
          <w:rFonts w:hint="eastAsia"/>
          <w:lang w:val="en-US" w:eastAsia="zh-CN"/>
        </w:rPr>
      </w:pPr>
      <w:r>
        <w:rPr>
          <w:rFonts w:hint="default"/>
          <w:lang w:val="en-US" w:eastAsia="zh-CN"/>
        </w:rPr>
        <w:t>过本项目的实施，将解决太平老街及黄州会馆存在的诸多问题，如建筑破损、基础设施落后等，提升区域的居住品质和形象。项目以保护历史文化遗产为目标，通过对黄州会馆的修缮和太平老街的改造，完善基础配套设施。经测算，项目在计算期内有一定的收入和利润，具有一定的财务生存能力和偿债能力，能够带动相关产业发展，促进就业，具有</w:t>
      </w:r>
      <w:r>
        <w:rPr>
          <w:rFonts w:hint="eastAsia"/>
          <w:lang w:val="en-US" w:eastAsia="zh-CN"/>
        </w:rPr>
        <w:t>一定</w:t>
      </w:r>
      <w:r>
        <w:rPr>
          <w:rFonts w:hint="default"/>
          <w:lang w:val="en-US" w:eastAsia="zh-CN"/>
        </w:rPr>
        <w:t>的社会经济效益</w:t>
      </w:r>
      <w:r>
        <w:rPr>
          <w:rFonts w:hint="eastAsia"/>
          <w:lang w:val="en-US" w:eastAsia="zh-CN"/>
        </w:rPr>
        <w:t>。</w:t>
      </w:r>
    </w:p>
    <w:p w14:paraId="7E5D866A">
      <w:pPr>
        <w:pStyle w:val="2"/>
        <w:spacing w:before="5" w:line="395" w:lineRule="auto"/>
        <w:ind w:left="30" w:right="139" w:firstLine="559"/>
        <w:jc w:val="both"/>
      </w:pPr>
      <w:r>
        <w:rPr>
          <w:spacing w:val="-1"/>
        </w:rPr>
        <w:t>经计算，项目债券存续期内累计盈余资金为</w:t>
      </w:r>
      <w:r>
        <w:rPr>
          <w:rFonts w:hint="eastAsia"/>
          <w:spacing w:val="-1"/>
        </w:rPr>
        <w:t>729.40</w:t>
      </w:r>
      <w:r>
        <w:rPr>
          <w:spacing w:val="-1"/>
        </w:rPr>
        <w:t>万元，各</w:t>
      </w:r>
      <w:r>
        <w:rPr>
          <w:spacing w:val="-3"/>
        </w:rPr>
        <w:t>年累计盈余资金均不小于</w:t>
      </w:r>
      <w:r>
        <w:rPr>
          <w:rFonts w:ascii="Times New Roman" w:hAnsi="Times New Roman" w:eastAsia="Times New Roman" w:cs="Times New Roman"/>
          <w:spacing w:val="-3"/>
        </w:rPr>
        <w:t>0</w:t>
      </w:r>
      <w:r>
        <w:rPr>
          <w:spacing w:val="-3"/>
        </w:rPr>
        <w:t>。说明本项目各年的现金流入足以应付现</w:t>
      </w:r>
      <w:r>
        <w:t>金流出，以保证项目可以持续运营下去，具有财务生存能</w:t>
      </w:r>
      <w:r>
        <w:rPr>
          <w:spacing w:val="-1"/>
        </w:rPr>
        <w:t>力。同时，</w:t>
      </w:r>
      <w:r>
        <w:rPr>
          <w:spacing w:val="-4"/>
        </w:rPr>
        <w:t>在项目计算期内，项目净现金流覆盖专项债券还本付息金额后还有结余，项目收益本息覆盖倍数等于</w:t>
      </w:r>
      <w:r>
        <w:rPr>
          <w:rFonts w:ascii="Times New Roman" w:hAnsi="Times New Roman" w:eastAsia="Times New Roman" w:cs="Times New Roman"/>
          <w:spacing w:val="-4"/>
        </w:rPr>
        <w:t>1.</w:t>
      </w:r>
      <w:r>
        <w:rPr>
          <w:rFonts w:hint="eastAsia" w:ascii="Times New Roman" w:hAnsi="Times New Roman" w:eastAsia="宋体" w:cs="Times New Roman"/>
          <w:spacing w:val="-4"/>
          <w:lang w:val="en-US" w:eastAsia="zh-CN"/>
        </w:rPr>
        <w:t>32</w:t>
      </w:r>
      <w:r>
        <w:rPr>
          <w:spacing w:val="-4"/>
        </w:rPr>
        <w:t>倍，项目具有较强的偿债能力。</w:t>
      </w:r>
    </w:p>
    <w:p w14:paraId="37722592">
      <w:pPr>
        <w:pStyle w:val="2"/>
        <w:spacing w:line="221" w:lineRule="auto"/>
        <w:ind w:left="618"/>
      </w:pPr>
      <w:r>
        <w:rPr>
          <w:spacing w:val="-3"/>
        </w:rPr>
        <w:t>因此项目具有</w:t>
      </w:r>
      <w:r>
        <w:rPr>
          <w:rFonts w:hint="eastAsia"/>
          <w:spacing w:val="-3"/>
          <w:lang w:val="en-US" w:eastAsia="zh-CN"/>
        </w:rPr>
        <w:t>良好</w:t>
      </w:r>
      <w:r>
        <w:rPr>
          <w:spacing w:val="-3"/>
        </w:rPr>
        <w:t>的社会经济效益。</w:t>
      </w:r>
    </w:p>
    <w:p w14:paraId="70A8EFD9">
      <w:pPr>
        <w:spacing w:before="232" w:line="231" w:lineRule="auto"/>
        <w:ind w:left="688"/>
        <w:outlineLvl w:val="1"/>
        <w:rPr>
          <w:rFonts w:ascii="楷体" w:hAnsi="楷体" w:eastAsia="楷体" w:cs="楷体"/>
          <w:sz w:val="31"/>
          <w:szCs w:val="31"/>
        </w:rPr>
      </w:pPr>
      <w:r>
        <w:rPr>
          <w:rFonts w:ascii="楷体" w:hAnsi="楷体" w:eastAsia="楷体" w:cs="楷体"/>
          <w:spacing w:val="5"/>
          <w:sz w:val="31"/>
          <w:szCs w:val="31"/>
        </w:rPr>
        <w:t>（二）公益性分析</w:t>
      </w:r>
    </w:p>
    <w:p w14:paraId="261D7A33">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spacing w:val="-3"/>
        </w:rPr>
      </w:pPr>
      <w:r>
        <w:rPr>
          <w:rFonts w:hint="eastAsia"/>
          <w:spacing w:val="-3"/>
          <w:lang w:val="en-US" w:eastAsia="zh-CN"/>
        </w:rPr>
        <w:t>新津区</w:t>
      </w:r>
      <w:r>
        <w:rPr>
          <w:spacing w:val="-3"/>
        </w:rPr>
        <w:t>太平老旧街区提升改造项目是推动城市有机更新的重要举措，对保护历史文化遗产、增进民生福祉具有重大意义。项目的实施将满足市民对幸福美好生活的向往，提升区域的文化软实力，因此项目建设具有明显的公益性。</w:t>
      </w:r>
    </w:p>
    <w:p w14:paraId="22880CC0">
      <w:pPr>
        <w:spacing w:before="232" w:line="226" w:lineRule="auto"/>
        <w:ind w:left="668"/>
        <w:rPr>
          <w:rFonts w:ascii="黑体" w:hAnsi="黑体" w:eastAsia="黑体" w:cs="黑体"/>
          <w:sz w:val="31"/>
          <w:szCs w:val="31"/>
        </w:rPr>
      </w:pPr>
      <w:r>
        <w:rPr>
          <w:rFonts w:ascii="黑体" w:hAnsi="黑体" w:eastAsia="黑体" w:cs="黑体"/>
          <w:spacing w:val="8"/>
          <w:sz w:val="31"/>
          <w:szCs w:val="31"/>
        </w:rPr>
        <w:t>三、项目投资估算及资金筹措方案</w:t>
      </w:r>
    </w:p>
    <w:p w14:paraId="5BB4CE9F">
      <w:pPr>
        <w:spacing w:before="220" w:line="231" w:lineRule="auto"/>
        <w:ind w:left="688"/>
        <w:outlineLvl w:val="1"/>
        <w:rPr>
          <w:rFonts w:ascii="楷体" w:hAnsi="楷体" w:eastAsia="楷体" w:cs="楷体"/>
          <w:sz w:val="31"/>
          <w:szCs w:val="31"/>
        </w:rPr>
      </w:pPr>
      <w:r>
        <w:rPr>
          <w:rFonts w:ascii="楷体" w:hAnsi="楷体" w:eastAsia="楷体" w:cs="楷体"/>
          <w:spacing w:val="4"/>
          <w:sz w:val="31"/>
          <w:szCs w:val="31"/>
        </w:rPr>
        <w:t>（一）投资估算</w:t>
      </w:r>
    </w:p>
    <w:p w14:paraId="6B04CBC9">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1.投资估算依据</w:t>
      </w:r>
    </w:p>
    <w:p w14:paraId="70797D5A">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（1）参考相关工程定额，采用投资指标法进行估算。指标确定参照了项目周边地区类似工程的建设投资指标。</w:t>
      </w:r>
    </w:p>
    <w:p w14:paraId="1329A555">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2）土建工程、安装工程、装饰装修工程费用：按照《建设工程工程量清单计价规范》（GB50500－2013）及其配套文件规定，选用四川省建设厅颁发的《四川省建设工程工程量清单计价定额》（房屋建筑与装饰工程、安装工程、园林环境整治）（2020年）及其配套文件，业主提供的方案图。</w:t>
      </w:r>
    </w:p>
    <w:p w14:paraId="3F79354F">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材料价格部分：采用成都市《工程造价信息》（2025年1月）建筑材料价格。</w:t>
      </w:r>
    </w:p>
    <w:p w14:paraId="21AAA549">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（3）《建设项目投资估算编审规程》CECA/GC1-2015；</w:t>
      </w:r>
    </w:p>
    <w:p w14:paraId="18673175">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（4）《建设工程造价咨询规范》（GB/T51095-2015）。</w:t>
      </w:r>
    </w:p>
    <w:p w14:paraId="69A312F3">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2.  投资估算方法</w:t>
      </w:r>
    </w:p>
    <w:p w14:paraId="4DA6C8C2">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参考有关建筑工程定额，采用投资指标估算法进行估算。</w:t>
      </w:r>
    </w:p>
    <w:p w14:paraId="0641146C">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3.  项目总投资</w:t>
      </w:r>
    </w:p>
    <w:p w14:paraId="03EE97CD">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本项目估算总投资3167.13万元，其中：建设投资3113.83万元，建设期债券利息及发行费用53.30万元。</w:t>
      </w:r>
    </w:p>
    <w:p w14:paraId="3CAA3EC4">
      <w:pPr>
        <w:spacing w:before="1" w:line="231" w:lineRule="auto"/>
        <w:ind w:left="688"/>
        <w:outlineLvl w:val="1"/>
        <w:rPr>
          <w:rFonts w:ascii="楷体" w:hAnsi="楷体" w:eastAsia="楷体" w:cs="楷体"/>
          <w:sz w:val="31"/>
          <w:szCs w:val="31"/>
        </w:rPr>
      </w:pPr>
      <w:r>
        <w:rPr>
          <w:rFonts w:ascii="楷体" w:hAnsi="楷体" w:eastAsia="楷体" w:cs="楷体"/>
          <w:spacing w:val="5"/>
          <w:sz w:val="31"/>
          <w:szCs w:val="31"/>
        </w:rPr>
        <w:t>（二）资金筹措方案</w:t>
      </w:r>
    </w:p>
    <w:p w14:paraId="10B87C7F">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1. 资金筹集情况</w:t>
      </w:r>
    </w:p>
    <w:p w14:paraId="1FB48737">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eastAsia"/>
          <w:spacing w:val="-3"/>
          <w:lang w:val="en-US" w:eastAsia="zh-CN"/>
        </w:rPr>
        <w:t>（1）资本金：项目资本金667.13万元，通过地方财政配套资金解决，占项目总投资的21.06%。</w:t>
      </w:r>
    </w:p>
    <w:p w14:paraId="059BD1B7">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（2）发行专项债券：本项目计划发行专项债券融资1300.00万元，占项目总投资的41.05%。</w:t>
      </w:r>
    </w:p>
    <w:p w14:paraId="5B9A83F7">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eastAsia"/>
          <w:spacing w:val="-3"/>
          <w:lang w:val="en-US" w:eastAsia="zh-CN"/>
        </w:rPr>
        <w:t>（3）申请中央预算资金：本项目计划申请中央预算资金1200.00万元，占项目总投资的37.89%。</w:t>
      </w:r>
    </w:p>
    <w:p w14:paraId="54DFF1F2">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2. 资金使用计划</w:t>
      </w:r>
    </w:p>
    <w:p w14:paraId="61C36DEC">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本项目于2025年投入资金2533.70万元，2026年投入资金633.43万元。</w:t>
      </w:r>
    </w:p>
    <w:p w14:paraId="0F6303F4">
      <w:pPr>
        <w:spacing w:line="227" w:lineRule="auto"/>
        <w:ind w:left="681"/>
        <w:rPr>
          <w:rFonts w:ascii="黑体" w:hAnsi="黑体" w:eastAsia="黑体" w:cs="黑体"/>
          <w:sz w:val="31"/>
          <w:szCs w:val="31"/>
        </w:rPr>
      </w:pPr>
      <w:r>
        <w:rPr>
          <w:rFonts w:ascii="黑体" w:hAnsi="黑体" w:eastAsia="黑体" w:cs="黑体"/>
          <w:spacing w:val="8"/>
          <w:sz w:val="31"/>
          <w:szCs w:val="31"/>
        </w:rPr>
        <w:t>四、项目预期收益、成本及融资平衡情况</w:t>
      </w:r>
    </w:p>
    <w:p w14:paraId="63D3EE1B">
      <w:pPr>
        <w:spacing w:before="219" w:line="230" w:lineRule="auto"/>
        <w:ind w:left="688"/>
        <w:outlineLvl w:val="1"/>
        <w:rPr>
          <w:rFonts w:ascii="楷体" w:hAnsi="楷体" w:eastAsia="楷体" w:cs="楷体"/>
          <w:sz w:val="31"/>
          <w:szCs w:val="31"/>
        </w:rPr>
      </w:pPr>
      <w:r>
        <w:rPr>
          <w:rFonts w:ascii="楷体" w:hAnsi="楷体" w:eastAsia="楷体" w:cs="楷体"/>
          <w:spacing w:val="5"/>
          <w:sz w:val="31"/>
          <w:szCs w:val="31"/>
        </w:rPr>
        <w:t>（一）项目预期收益</w:t>
      </w:r>
    </w:p>
    <w:p w14:paraId="2C7CF9D0">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1.项目收入</w:t>
      </w:r>
    </w:p>
    <w:p w14:paraId="018FDAD9">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default"/>
          <w:spacing w:val="-3"/>
          <w:lang w:val="en-US" w:eastAsia="zh-CN"/>
        </w:rPr>
        <w:t>本项目收入来源为停车场收入、充电桩服务费收入、讲解收入、广告收入（路灯广告收入、停车场道闸广告收入、公共厕所广告收入）。</w:t>
      </w:r>
    </w:p>
    <w:p w14:paraId="7129DDEB">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eastAsia"/>
          <w:spacing w:val="-3"/>
          <w:lang w:val="en-US" w:eastAsia="zh-CN"/>
        </w:rPr>
      </w:pPr>
      <w:r>
        <w:rPr>
          <w:rFonts w:hint="eastAsia"/>
          <w:spacing w:val="-3"/>
          <w:lang w:val="en-US" w:eastAsia="zh-CN"/>
        </w:rPr>
        <w:t>预计债券存续期内，项目可以实现收入共计4212.92万元。</w:t>
      </w:r>
    </w:p>
    <w:p w14:paraId="40A90027">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2.项目成本</w:t>
      </w:r>
    </w:p>
    <w:p w14:paraId="54AFDE1D">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（1）维护费</w:t>
      </w:r>
    </w:p>
    <w:p w14:paraId="7677BD88">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本项目维护费按每年5.00万元计算，每五年上涨5%。</w:t>
      </w:r>
    </w:p>
    <w:p w14:paraId="5B1F8EDB">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eastAsia"/>
          <w:spacing w:val="-3"/>
          <w:lang w:val="en-US" w:eastAsia="zh-CN"/>
        </w:rPr>
        <w:t>（2）</w:t>
      </w:r>
      <w:r>
        <w:rPr>
          <w:rFonts w:hint="default"/>
          <w:spacing w:val="-3"/>
          <w:lang w:val="en-US" w:eastAsia="zh-CN"/>
        </w:rPr>
        <w:t>燃料动力费</w:t>
      </w:r>
    </w:p>
    <w:p w14:paraId="1315808E">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用电成本：运营期内耗电总量为188.50万kwh，考虑峰平段和谷段电价，本项目电价按0.65元/kwh计算。</w:t>
      </w:r>
    </w:p>
    <w:p w14:paraId="3C9480DB">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eastAsia"/>
          <w:spacing w:val="-3"/>
          <w:lang w:val="en-US" w:eastAsia="zh-CN"/>
        </w:rPr>
        <w:t>（3）</w:t>
      </w:r>
      <w:r>
        <w:rPr>
          <w:rFonts w:hint="default"/>
          <w:spacing w:val="-3"/>
          <w:lang w:val="en-US" w:eastAsia="zh-CN"/>
        </w:rPr>
        <w:t>研学成本</w:t>
      </w:r>
    </w:p>
    <w:p w14:paraId="52FC6464">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本项目研学成本按研学收入的40%计算。</w:t>
      </w:r>
    </w:p>
    <w:p w14:paraId="53FB67AA">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（4）人员工资</w:t>
      </w:r>
    </w:p>
    <w:p w14:paraId="5447FCD6">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项目聘用4名工作人员负责停车场、黄州会馆、研学的日常运营，工资按4000元/月·人计算，工资每五年上涨5%。</w:t>
      </w:r>
    </w:p>
    <w:p w14:paraId="30A60A70">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（5）折旧摊销费</w:t>
      </w:r>
    </w:p>
    <w:p w14:paraId="2A9483A3">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固定资产折旧按照国家有关规定采用分类直线折旧方法计算，本项目房屋、建筑物折旧年限取30年，残值率取5%。</w:t>
      </w:r>
    </w:p>
    <w:p w14:paraId="5F4A5CFB">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（6）债券利息支出</w:t>
      </w:r>
    </w:p>
    <w:p w14:paraId="003493CB">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财务费用为债券存续期内的运营期利息费用。按照上述思路，债券存续期内，本项目运营成本为</w:t>
      </w:r>
      <w:r>
        <w:rPr>
          <w:rFonts w:hint="eastAsia"/>
          <w:spacing w:val="-3"/>
          <w:lang w:val="en-US" w:eastAsia="zh-CN"/>
        </w:rPr>
        <w:t>1080.90万元。</w:t>
      </w:r>
    </w:p>
    <w:p w14:paraId="58F76F59">
      <w:pPr>
        <w:spacing w:line="229" w:lineRule="auto"/>
        <w:ind w:left="688"/>
        <w:outlineLvl w:val="1"/>
        <w:rPr>
          <w:rFonts w:ascii="楷体" w:hAnsi="楷体" w:eastAsia="楷体" w:cs="楷体"/>
          <w:sz w:val="31"/>
          <w:szCs w:val="31"/>
        </w:rPr>
      </w:pPr>
      <w:r>
        <w:rPr>
          <w:rFonts w:ascii="楷体" w:hAnsi="楷体" w:eastAsia="楷体" w:cs="楷体"/>
          <w:spacing w:val="6"/>
          <w:sz w:val="31"/>
          <w:szCs w:val="31"/>
        </w:rPr>
        <w:t>（二）资金测算平衡情况</w:t>
      </w:r>
    </w:p>
    <w:p w14:paraId="5AE9F4D4">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根据本项目预期收益分析，计算期内经营活动累计净现金流量为</w:t>
      </w:r>
      <w:r>
        <w:rPr>
          <w:rFonts w:hint="eastAsia"/>
          <w:spacing w:val="-3"/>
          <w:lang w:val="en-US" w:eastAsia="zh-CN"/>
        </w:rPr>
        <w:t>3017.40</w:t>
      </w:r>
      <w:r>
        <w:rPr>
          <w:rFonts w:hint="default"/>
          <w:spacing w:val="-3"/>
          <w:lang w:val="en-US" w:eastAsia="zh-CN"/>
        </w:rPr>
        <w:t>万元，累计投资活动净现金流量为</w:t>
      </w:r>
      <w:r>
        <w:rPr>
          <w:rFonts w:hint="eastAsia"/>
          <w:spacing w:val="-3"/>
          <w:lang w:val="en-US" w:eastAsia="zh-CN"/>
        </w:rPr>
        <w:t>-3167.13</w:t>
      </w:r>
      <w:r>
        <w:rPr>
          <w:rFonts w:hint="default"/>
          <w:spacing w:val="-3"/>
          <w:lang w:val="en-US" w:eastAsia="zh-CN"/>
        </w:rPr>
        <w:t>万元，累计筹资活动净现金流量为879.13万元，累计实现净现金流量为729.40万元。本项目</w:t>
      </w:r>
      <w:r>
        <w:rPr>
          <w:rFonts w:hint="eastAsia"/>
          <w:spacing w:val="-3"/>
          <w:lang w:val="en-US" w:eastAsia="zh-CN"/>
        </w:rPr>
        <w:t>1300.00</w:t>
      </w:r>
      <w:r>
        <w:rPr>
          <w:rFonts w:hint="default"/>
          <w:spacing w:val="-3"/>
          <w:lang w:val="en-US" w:eastAsia="zh-CN"/>
        </w:rPr>
        <w:t>万元专项债到期时，在偿还当年到期的本息后，期间不存在任何资金缺口。项目计划发行债券总额</w:t>
      </w:r>
      <w:r>
        <w:rPr>
          <w:rFonts w:hint="eastAsia"/>
          <w:spacing w:val="-3"/>
          <w:lang w:val="en-US" w:eastAsia="zh-CN"/>
        </w:rPr>
        <w:t>1300.00</w:t>
      </w:r>
      <w:r>
        <w:rPr>
          <w:rFonts w:hint="default"/>
          <w:spacing w:val="-3"/>
          <w:lang w:val="en-US" w:eastAsia="zh-CN"/>
        </w:rPr>
        <w:t>万元，需偿还的融资本息共计</w:t>
      </w:r>
      <w:r>
        <w:rPr>
          <w:rFonts w:hint="eastAsia"/>
          <w:spacing w:val="-3"/>
          <w:lang w:val="en-US" w:eastAsia="zh-CN"/>
        </w:rPr>
        <w:t>2288.00</w:t>
      </w:r>
      <w:r>
        <w:rPr>
          <w:rFonts w:hint="default"/>
          <w:spacing w:val="-3"/>
          <w:lang w:val="en-US" w:eastAsia="zh-CN"/>
        </w:rPr>
        <w:t>万元。项目运营期内，项目收入扣除经营成本、相关税金后，可用于偿还融资本息的资金共计</w:t>
      </w:r>
      <w:r>
        <w:rPr>
          <w:rFonts w:hint="eastAsia"/>
          <w:spacing w:val="-3"/>
          <w:lang w:val="en-US" w:eastAsia="zh-CN"/>
        </w:rPr>
        <w:t>3017.40</w:t>
      </w:r>
      <w:r>
        <w:rPr>
          <w:rFonts w:hint="default"/>
          <w:spacing w:val="-3"/>
          <w:lang w:val="en-US" w:eastAsia="zh-CN"/>
        </w:rPr>
        <w:t>万元，对融资本息</w:t>
      </w:r>
      <w:r>
        <w:rPr>
          <w:rFonts w:hint="eastAsia"/>
          <w:spacing w:val="-3"/>
          <w:lang w:val="en-US" w:eastAsia="zh-CN"/>
        </w:rPr>
        <w:t>2288.00</w:t>
      </w:r>
      <w:r>
        <w:rPr>
          <w:rFonts w:hint="default"/>
          <w:spacing w:val="-3"/>
          <w:lang w:val="en-US" w:eastAsia="zh-CN"/>
        </w:rPr>
        <w:t>万元的覆盖倍数为</w:t>
      </w:r>
      <w:r>
        <w:rPr>
          <w:rFonts w:hint="eastAsia"/>
          <w:spacing w:val="-3"/>
          <w:lang w:val="en-US" w:eastAsia="zh-CN"/>
        </w:rPr>
        <w:t>1.32</w:t>
      </w:r>
      <w:r>
        <w:rPr>
          <w:rFonts w:hint="default"/>
          <w:spacing w:val="-3"/>
          <w:lang w:val="en-US" w:eastAsia="zh-CN"/>
        </w:rPr>
        <w:t>倍。</w:t>
      </w:r>
    </w:p>
    <w:p w14:paraId="2A02D8C4">
      <w:pPr>
        <w:spacing w:line="396" w:lineRule="auto"/>
        <w:sectPr>
          <w:footerReference r:id="rId5" w:type="default"/>
          <w:pgSz w:w="11906" w:h="16839"/>
          <w:pgMar w:top="1431" w:right="1785" w:bottom="1122" w:left="1785" w:header="0" w:footer="841" w:gutter="0"/>
          <w:cols w:space="720" w:num="1"/>
        </w:sectPr>
      </w:pPr>
    </w:p>
    <w:p w14:paraId="2F71A10F">
      <w:pPr>
        <w:spacing w:line="309" w:lineRule="auto"/>
        <w:rPr>
          <w:rFonts w:ascii="Arial"/>
          <w:sz w:val="21"/>
        </w:rPr>
      </w:pPr>
    </w:p>
    <w:p w14:paraId="65801E28">
      <w:pPr>
        <w:spacing w:line="309" w:lineRule="auto"/>
        <w:rPr>
          <w:rFonts w:ascii="Arial"/>
          <w:sz w:val="21"/>
        </w:rPr>
      </w:pPr>
    </w:p>
    <w:p w14:paraId="3F526EC6">
      <w:pPr>
        <w:spacing w:line="310" w:lineRule="auto"/>
        <w:rPr>
          <w:rFonts w:ascii="Arial"/>
          <w:sz w:val="21"/>
        </w:rPr>
      </w:pPr>
    </w:p>
    <w:p w14:paraId="3990BAAB">
      <w:pPr>
        <w:pStyle w:val="2"/>
        <w:spacing w:before="91" w:line="222" w:lineRule="auto"/>
        <w:ind w:left="6915"/>
      </w:pPr>
      <w:r>
        <w:rPr>
          <w:spacing w:val="-7"/>
        </w:rPr>
        <w:t>资金平衡表</w:t>
      </w:r>
    </w:p>
    <w:p w14:paraId="676D88C1">
      <w:pPr>
        <w:pStyle w:val="2"/>
        <w:spacing w:before="262" w:line="222" w:lineRule="auto"/>
        <w:ind w:left="12339"/>
      </w:pPr>
      <w:r>
        <w:rPr>
          <w:spacing w:val="-3"/>
        </w:rPr>
        <w:t>金额单位：万元</w:t>
      </w:r>
    </w:p>
    <w:p w14:paraId="1EB26CD8">
      <w:pPr>
        <w:spacing w:line="23" w:lineRule="exact"/>
      </w:pPr>
    </w:p>
    <w:tbl>
      <w:tblPr>
        <w:tblStyle w:val="5"/>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70"/>
        <w:gridCol w:w="2533"/>
        <w:gridCol w:w="1056"/>
        <w:gridCol w:w="1056"/>
        <w:gridCol w:w="1056"/>
        <w:gridCol w:w="951"/>
        <w:gridCol w:w="1056"/>
        <w:gridCol w:w="1056"/>
        <w:gridCol w:w="1056"/>
        <w:gridCol w:w="1056"/>
        <w:gridCol w:w="1056"/>
        <w:gridCol w:w="1056"/>
        <w:gridCol w:w="1056"/>
      </w:tblGrid>
      <w:tr w14:paraId="79E78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blHeader/>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DEB5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Style w:val="9"/>
                <w:snapToGrid w:val="0"/>
                <w:color w:val="000000"/>
                <w:sz w:val="20"/>
                <w:szCs w:val="20"/>
                <w:lang w:val="en-US" w:eastAsia="zh-CN" w:bidi="ar"/>
              </w:rPr>
              <w:t>序号</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77FA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Style w:val="9"/>
                <w:snapToGrid w:val="0"/>
                <w:color w:val="000000"/>
                <w:sz w:val="20"/>
                <w:szCs w:val="20"/>
                <w:lang w:val="en-US" w:eastAsia="zh-CN" w:bidi="ar"/>
              </w:rPr>
              <w:t>项目</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5FD3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Style w:val="9"/>
                <w:snapToGrid w:val="0"/>
                <w:color w:val="000000"/>
                <w:sz w:val="20"/>
                <w:szCs w:val="20"/>
                <w:lang w:val="en-US" w:eastAsia="zh-CN" w:bidi="ar"/>
              </w:rPr>
              <w:t>合计</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75A8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1</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FC1B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2</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B836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3</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9B03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4</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442A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5</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F873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6</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A10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7</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0ACA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8</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90C5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9</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C110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10</w:t>
            </w:r>
          </w:p>
        </w:tc>
      </w:tr>
      <w:tr w14:paraId="43EBE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4828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F864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经营活动净现金流量</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463F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3017.40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1F186">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40CE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121.08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CE7F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127.25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6E6B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133.73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64E9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147.10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8BEC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151.96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41C1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153.20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E2C1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161.78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6B51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161.78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40FC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161.78 </w:t>
            </w:r>
          </w:p>
        </w:tc>
      </w:tr>
      <w:tr w14:paraId="54327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C309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1.1</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B061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现金流入</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368F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4585.25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403A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F8AB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189.64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81D9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196.58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2408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203.51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460C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220.42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63FF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227.71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D18E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227.71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BED7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238.54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42AE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238.54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7041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238.54 </w:t>
            </w:r>
          </w:p>
        </w:tc>
      </w:tr>
      <w:tr w14:paraId="5E40D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ABD9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1.1.1</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141B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营业收入（不含税）</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48E5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4212.92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4FF4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53C9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174.73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A550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180.97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F992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187.21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CCB5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202.62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09C6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209.17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ABAB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209.17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5262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219.11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C5C8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219.11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2816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219.11 </w:t>
            </w:r>
          </w:p>
        </w:tc>
      </w:tr>
      <w:tr w14:paraId="22448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E522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1.1.2</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29D6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其他流入（固定资产余值）</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B8C5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219E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E704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92600">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4FE7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07130">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8CB93">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C8E6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462F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E422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95F5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47193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456A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1.1.3</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130D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增值税销项税额</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2098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372.33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8963B">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8987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14.91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F5EB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15.61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E19D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16.30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CAD8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17.81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E3FE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18.53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671F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18.53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672F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19.43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F73D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19.43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C540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19.43 </w:t>
            </w:r>
          </w:p>
        </w:tc>
      </w:tr>
      <w:tr w14:paraId="39A54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AA2D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AD05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现金流出</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3E3E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1567.85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915E4">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6A9E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68.56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1DD3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69.33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4B5F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69.78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AD4A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73.32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93F6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75.74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AD03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74.51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8021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76.75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BDEA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76.75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D67D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76.75 </w:t>
            </w:r>
          </w:p>
        </w:tc>
      </w:tr>
      <w:tr w14:paraId="27680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A2C2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1.2.1</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9F1C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经营成本</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793A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1080.90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BAE66">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F74A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51.85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2839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51.85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05EA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51.85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0ADF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53.05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744E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53.05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EFD7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54.12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7BA2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55.38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5425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55.38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F4C0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55.38 </w:t>
            </w:r>
          </w:p>
        </w:tc>
      </w:tr>
      <w:tr w14:paraId="1FDE7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E2AD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1.2.2</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E56A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增值税进项税额</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1EE9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AADE0">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442B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23F0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06BB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AB05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BCC1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F7C9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51CB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0A3A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BDFB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r>
      <w:tr w14:paraId="06EA9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1237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1.2.3</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1D3F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税金及附加</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46DC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37.84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85E0E">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E70C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1.79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AD19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1.87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F12D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5D97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1.78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CD06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3229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D0B9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1.94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16E8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1.94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8050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1.94 </w:t>
            </w:r>
          </w:p>
        </w:tc>
      </w:tr>
      <w:tr w14:paraId="381EC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6E64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1.2.4</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59CB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增值税</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3592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372.33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32BD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BB8C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14.91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DAF2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15.61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2A3C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16.30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5546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17.81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68CA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18.53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C1E9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18.53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47A3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19.43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7433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19.43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249B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19.43 </w:t>
            </w:r>
          </w:p>
        </w:tc>
      </w:tr>
      <w:tr w14:paraId="04FCB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3D52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1.2.5</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2976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所得税</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2510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76.78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4ED54">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4E48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8FF9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1C84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D6C8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0.68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BD13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2.30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6522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28E4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AC28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32EC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r>
      <w:tr w14:paraId="26BD3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5419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2</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EE26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投资活动净现金流量</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A047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9ECD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4D51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982F4">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2330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C3C2B">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088E9">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AA775">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00DA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0B19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6A05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0A509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657E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2.1</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93C8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现金流入</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FEF2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3DC44">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41131">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5A02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B4FE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6EFF3">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C30A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C3CA0">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57CF6">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ABC33">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CE29E">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350FA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8FEA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2.2</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4233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现金流出</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10C4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538C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08C24">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18B5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D5143">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99B3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1DEC5">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293F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81223">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94BF0">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1685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16824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BED6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2.2.1</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DC53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建设投资</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6A3E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533B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997AD">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5864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91A19">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874B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DC9D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85C31">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52EF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ADF6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7546B">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41659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5395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335C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筹资活动净现金流量</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52EE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879.13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5857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2B07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55B9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016B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3E4D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1B7C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60B5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7C36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F86C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C8E6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r>
      <w:tr w14:paraId="288EB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4461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3.1</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4A84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现金流入</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E672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8AD4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19DB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7C834">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8686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5A4AD">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1186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8085B">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1AEF3">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80239">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EB4E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5A955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4F34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3.1.1</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C1B3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项目资本金投入</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4899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1867.13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57BF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1867.13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F71DE">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B134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4C6D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1B12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E441E">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43320">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6F104">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ED5F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D4BEE">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129E3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759F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3.1.2</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57FC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建设对外融资</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0B43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1300.00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8436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1300.00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E0EED">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A336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2F1EE">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3A0CB">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3D41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601C0">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5658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1851B">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E5F40">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36BE7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2A8D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3.2</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410C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现金流出</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8503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2288.00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7485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812E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1A3B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7B61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52D7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4E21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5364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7099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662A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B4E2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r>
      <w:tr w14:paraId="15AF3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3655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3.2.1</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8403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利息支出</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939D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988.00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D19F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7488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BEAD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23E8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D0C7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522F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3E6F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B579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3680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773E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r>
      <w:tr w14:paraId="40F51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AEED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3.2.2</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0DD5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偿还债务本金</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30EC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1300.00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09D2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3B135">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D0505">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B0E9D">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DA165">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76DE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A12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8906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124D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43E34">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166D4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CE88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4</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63DA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净现金流量（</w:t>
            </w:r>
            <w:r>
              <w:rPr>
                <w:rStyle w:val="11"/>
                <w:rFonts w:eastAsia="宋体"/>
                <w:snapToGrid w:val="0"/>
                <w:color w:val="000000"/>
                <w:sz w:val="20"/>
                <w:szCs w:val="20"/>
                <w:lang w:val="en-US" w:eastAsia="zh-CN" w:bidi="ar"/>
              </w:rPr>
              <w:t>1+2+3</w:t>
            </w:r>
            <w:r>
              <w:rPr>
                <w:rStyle w:val="10"/>
                <w:snapToGrid w:val="0"/>
                <w:color w:val="000000"/>
                <w:sz w:val="20"/>
                <w:szCs w:val="20"/>
                <w:lang w:val="en-US" w:eastAsia="zh-CN" w:bidi="ar"/>
              </w:rPr>
              <w:t>）</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3035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729.40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016B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1931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69.08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928A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75.25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9221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81.73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26D6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95.10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CD8A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99.96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6B9A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101.20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D69C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109.78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F58A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109.78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610B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109.78 </w:t>
            </w:r>
          </w:p>
        </w:tc>
      </w:tr>
      <w:tr w14:paraId="47DE9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365F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5</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73B3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Style w:val="10"/>
                <w:snapToGrid w:val="0"/>
                <w:color w:val="000000"/>
                <w:sz w:val="20"/>
                <w:szCs w:val="20"/>
                <w:lang w:val="en-US" w:eastAsia="zh-CN" w:bidi="ar"/>
              </w:rPr>
              <w:t>累计盈余资金</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6E0A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729.40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E720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030A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69.08 </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2A29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144.33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C84D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226.06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51E6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321.16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700D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421.13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DAEF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522.32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1432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632.11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CE1A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741.89 </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DF70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851.67 </w:t>
            </w:r>
          </w:p>
        </w:tc>
      </w:tr>
    </w:tbl>
    <w:p w14:paraId="16F14277">
      <w:pPr>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续表</w:t>
      </w:r>
    </w:p>
    <w:tbl>
      <w:tblPr>
        <w:tblStyle w:val="5"/>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79"/>
        <w:gridCol w:w="2573"/>
        <w:gridCol w:w="1070"/>
        <w:gridCol w:w="1070"/>
        <w:gridCol w:w="965"/>
        <w:gridCol w:w="965"/>
        <w:gridCol w:w="965"/>
        <w:gridCol w:w="1070"/>
        <w:gridCol w:w="1070"/>
        <w:gridCol w:w="1070"/>
        <w:gridCol w:w="1070"/>
        <w:gridCol w:w="1070"/>
        <w:gridCol w:w="1071"/>
      </w:tblGrid>
      <w:tr w14:paraId="1CE6B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blHeader/>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57D5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序号</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1547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项目</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F05C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合计</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2A2A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11</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26AB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12</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60D3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13</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B616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14</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D32E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15</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36CA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16</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86D9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17</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7C3D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18</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8CDC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19</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7907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snapToGrid w:val="0"/>
                <w:color w:val="000000"/>
                <w:kern w:val="0"/>
                <w:sz w:val="20"/>
                <w:szCs w:val="20"/>
                <w:u w:val="none"/>
                <w:lang w:val="en-US" w:eastAsia="zh-CN" w:bidi="ar"/>
              </w:rPr>
              <w:t>20</w:t>
            </w:r>
          </w:p>
        </w:tc>
      </w:tr>
      <w:tr w14:paraId="6B17D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0C25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620B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经营活动净现金流量</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E201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3017.40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0C0A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170.81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899E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163.53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BF9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163.53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35D7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168.30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CB02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168.30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433E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168.30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EF4D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172.43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799A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172.43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A362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172.43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D84C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177.69 </w:t>
            </w:r>
          </w:p>
        </w:tc>
      </w:tr>
      <w:tr w14:paraId="7D43C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3C4D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1.1</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3D9F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现金流入</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2D49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4585.25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E236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249.92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95F2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249.92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D5DB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249.92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D654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258.44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7CF4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258.44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5654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258.44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D980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267.40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87BC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267.40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720D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267.40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B7E7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276.80 </w:t>
            </w:r>
          </w:p>
        </w:tc>
      </w:tr>
      <w:tr w14:paraId="21E85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E329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1.1.1</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AD52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营业收入（不含税）</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7E25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4212.92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615B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229.55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6796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229.55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B51D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229.55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0897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237.37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B470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237.37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EF46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237.37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43AD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245.58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DEF4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245.58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1CDD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245.58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9724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254.21 </w:t>
            </w:r>
          </w:p>
        </w:tc>
      </w:tr>
      <w:tr w14:paraId="22303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8EE3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1.1.2</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832F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其他流入（固定资产余值）</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CDD3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1412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8CF6E">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10B89">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AF55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4EBE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395B">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7E6A4">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EF195">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47756">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82F1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791AA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231A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1.1.3</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E11A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增值税销项税额</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79F8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372.33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2648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20.37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0135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20.37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5F20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20.37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4554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21.07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C0B6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21.07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6881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21.07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6675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21.81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B21C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21.81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5AFB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21.81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1647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22.59 </w:t>
            </w:r>
          </w:p>
        </w:tc>
      </w:tr>
      <w:tr w14:paraId="5B4C8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BC61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50F0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现金流出</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30AF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1567.85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CBA1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79.11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0DCC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86.39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7763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86.39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E9F6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90.14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60B7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90.14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6AAB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90.14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7207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94.97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C43A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94.97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B5B7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94.97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8113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99.11 </w:t>
            </w:r>
          </w:p>
        </w:tc>
      </w:tr>
      <w:tr w14:paraId="65B62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6E08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1.2.1</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504F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经营成本</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8AA2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1080.90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AB81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56.71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303E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57.83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0C9B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57.83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E718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59.22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A526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59.22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59E6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59.22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E4A9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61.85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9859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61.85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D8BD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61.85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FD7C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63.38 </w:t>
            </w:r>
          </w:p>
        </w:tc>
      </w:tr>
      <w:tr w14:paraId="59E9F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73DF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1.2.2</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5C3D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增值税进项税额</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541B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F54F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F1FA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8CF1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A890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043E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72BC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F3E6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8F33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7723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C7C8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r>
      <w:tr w14:paraId="43C73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AA98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1.2.3</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7E6E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税金及附加</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49D6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37.84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F3E5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2.04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D977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2.04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0BCD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2.04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79E7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9FBA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0AA0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19D7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2.18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569B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2.18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5B74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2.18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BCCA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2.26 </w:t>
            </w:r>
          </w:p>
        </w:tc>
      </w:tr>
      <w:tr w14:paraId="4C28E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B62A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1.2.4</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843E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增值税</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880B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372.33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C7B9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20.37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DC9B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20.37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756C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20.37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6A5E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21.07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B349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21.07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80E2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21.07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E1C4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21.81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E359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21.81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680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21.81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C87A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22.59 </w:t>
            </w:r>
          </w:p>
        </w:tc>
      </w:tr>
      <w:tr w14:paraId="1DA84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D671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1.2.5</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2B60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所得税</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381F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76.78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776D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C575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6.16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D38D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6.16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70E5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7.75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6D1C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7.75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D49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7.75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C946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9.12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CD52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9.12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F424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9.12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EA7F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10.88 </w:t>
            </w:r>
          </w:p>
        </w:tc>
      </w:tr>
      <w:tr w14:paraId="44C48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1E2F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2</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021B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投资活动净现金流量</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7EEE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66F56">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A401D">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FCADD">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2F81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853A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C39C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C731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53B8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6AF5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B238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28114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D00C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2.1</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3A16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现金流入</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1BE3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B4276">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0F934">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17409">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0321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9775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A828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3341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95C3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F6F8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4E285">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1A4CB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32AB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2.2</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E0D8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现金流出</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46EF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9091D">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043F6">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43A9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37C4B">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DA5C0">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74F19">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8F44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E3E9B">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FA30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62F63">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7B2D2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19AB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2.2.1</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C7AF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建设投资</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192B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48E7E">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E96D5">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FF672">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B2EA9">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DAB7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8C521">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69CA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4DCF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FBCA0">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66710">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15217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AAFE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9117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筹资活动净现金流量</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DC6F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879.13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E56A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151E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0785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AE95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D077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DFA8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7FF9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6FB6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AECF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4FE8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-1352.00 </w:t>
            </w:r>
          </w:p>
        </w:tc>
      </w:tr>
      <w:tr w14:paraId="106B1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397F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3.1</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4B9D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现金流入</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AB51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3167.13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B450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9A613">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54BC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9399E">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B3DB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E161B">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F353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5536E">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BAC44">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FC4C5">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2FB45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C6BE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3.1.1</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82A8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项目资本金投入</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089D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1867.13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293F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81C7D">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26EB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A0AC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C4086">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C8E21">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1AF8D">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03171">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F2FA8">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F3233">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16816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373C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3.1.2</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6CA9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建设对外融资</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43DA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1300.00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B89AE">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96E41">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616D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1313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ED11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3174F">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7A916">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F23E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3E8EB">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3EB6D">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r>
      <w:tr w14:paraId="50FA8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C44F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3.2</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FBC4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现金流出</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20DA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2288.00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2CE1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1FCA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CC09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C400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59FF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682C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98E1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F6EC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C515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EC8E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1352.00 </w:t>
            </w:r>
          </w:p>
        </w:tc>
      </w:tr>
      <w:tr w14:paraId="5C0F6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F70E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3.2.1</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4952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利息支出</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42DE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988.00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6F7C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3E00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B6707">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CA8B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96196">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65B0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6B0C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1FC8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272A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C030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52.00 </w:t>
            </w:r>
          </w:p>
        </w:tc>
      </w:tr>
      <w:tr w14:paraId="61279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CD9C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3.2.2</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CE1E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偿还债务本金</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39DA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1300.00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7C70D">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952E3">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9780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E341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322B7">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54AAA">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66BA6">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3AF11">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4786C">
            <w:pPr>
              <w:keepNext w:val="0"/>
              <w:keepLines w:val="0"/>
              <w:pageBreakBefore w:val="0"/>
              <w:widowControl/>
              <w:wordWrap/>
              <w:overflowPunct/>
              <w:topLinePunct w:val="0"/>
              <w:bidi w:val="0"/>
              <w:adjustRightInd w:val="0"/>
              <w:snapToGrid w:val="0"/>
              <w:jc w:val="center"/>
              <w:rPr>
                <w:rFonts w:hint="default" w:ascii="Times New Roman" w:hAnsi="Times New Roman" w:eastAsia="宋体" w:cs="Times New Roman"/>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807EC">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1300.00 </w:t>
            </w:r>
          </w:p>
        </w:tc>
      </w:tr>
      <w:tr w14:paraId="56FC0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A315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4</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E72B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净现金流量（</w:t>
            </w:r>
            <w:r>
              <w:rPr>
                <w:rFonts w:hint="default" w:ascii="Times New Roman" w:hAnsi="Times New Roman" w:eastAsia="宋体" w:cs="Times New Roman"/>
                <w:i w:val="0"/>
                <w:iCs w:val="0"/>
                <w:snapToGrid w:val="0"/>
                <w:color w:val="000000"/>
                <w:kern w:val="0"/>
                <w:sz w:val="20"/>
                <w:szCs w:val="20"/>
                <w:u w:val="none"/>
                <w:lang w:val="en-US" w:eastAsia="zh-CN" w:bidi="ar"/>
              </w:rPr>
              <w:t>1+2+3</w:t>
            </w:r>
            <w:r>
              <w:rPr>
                <w:rFonts w:hint="eastAsia" w:ascii="宋体" w:hAnsi="宋体" w:eastAsia="宋体" w:cs="宋体"/>
                <w:i w:val="0"/>
                <w:iCs w:val="0"/>
                <w:snapToGrid w:val="0"/>
                <w:color w:val="000000"/>
                <w:kern w:val="0"/>
                <w:sz w:val="20"/>
                <w:szCs w:val="20"/>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E09C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729.40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C735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118.81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8002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111.53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7E214">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111.53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FD48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116.30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9D4ED">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116.30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BBA0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116.30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D11B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120.43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C3FD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120.43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A479E">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120.43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56B5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-1174.31 </w:t>
            </w:r>
          </w:p>
        </w:tc>
      </w:tr>
      <w:tr w14:paraId="5D545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AD722">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5</w:t>
            </w:r>
          </w:p>
        </w:tc>
        <w:tc>
          <w:tcPr>
            <w:tcW w:w="8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5FF1F">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累计盈余资金</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5081A">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729.40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0302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970.48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CA928">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1082.01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0B2D3">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1193.54 </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4B2B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1309.84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32270">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1426.14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8474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1542.43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35D95">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1662.86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FCB2B">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1783.29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A8041">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1903.72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70409">
            <w:pPr>
              <w:keepNext w:val="0"/>
              <w:keepLines w:val="0"/>
              <w:pageBreakBefore w:val="0"/>
              <w:widowControl/>
              <w:suppressLineNumbers w:val="0"/>
              <w:wordWrap/>
              <w:overflowPunct/>
              <w:topLinePunct w:val="0"/>
              <w:bidi w:val="0"/>
              <w:adjustRightInd w:val="0"/>
              <w:snapToGrid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 xml:space="preserve">729.40 </w:t>
            </w:r>
          </w:p>
        </w:tc>
      </w:tr>
    </w:tbl>
    <w:p w14:paraId="5539A906">
      <w:pPr>
        <w:jc w:val="center"/>
        <w:rPr>
          <w:rFonts w:hint="eastAsia" w:ascii="仿宋" w:hAnsi="仿宋" w:eastAsia="仿宋" w:cs="仿宋"/>
          <w:b/>
          <w:bCs/>
          <w:sz w:val="28"/>
          <w:szCs w:val="28"/>
          <w:lang w:val="en-US" w:eastAsia="zh-CN"/>
        </w:rPr>
        <w:sectPr>
          <w:footerReference r:id="rId6" w:type="default"/>
          <w:pgSz w:w="16839" w:h="11906"/>
          <w:pgMar w:top="1012" w:right="1116" w:bottom="1127" w:left="1116" w:header="0" w:footer="841" w:gutter="0"/>
          <w:cols w:space="720" w:num="1"/>
        </w:sectPr>
      </w:pPr>
    </w:p>
    <w:p w14:paraId="1EB71024">
      <w:pPr>
        <w:spacing w:before="20"/>
      </w:pPr>
    </w:p>
    <w:p w14:paraId="7CF442B7">
      <w:pPr>
        <w:spacing w:before="247" w:line="226" w:lineRule="auto"/>
        <w:ind w:left="671"/>
        <w:outlineLvl w:val="2"/>
        <w:rPr>
          <w:rFonts w:ascii="黑体" w:hAnsi="黑体" w:eastAsia="黑体" w:cs="黑体"/>
          <w:sz w:val="31"/>
          <w:szCs w:val="31"/>
        </w:rPr>
      </w:pPr>
      <w:r>
        <w:rPr>
          <w:rFonts w:ascii="黑体" w:hAnsi="黑体" w:eastAsia="黑体" w:cs="黑体"/>
          <w:spacing w:val="7"/>
          <w:sz w:val="31"/>
          <w:szCs w:val="31"/>
        </w:rPr>
        <w:t>五、项目绩效目标</w:t>
      </w:r>
    </w:p>
    <w:p w14:paraId="610E71AF">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目标 1 ：项目于2026年2月完成竣工验收。</w:t>
      </w:r>
    </w:p>
    <w:p w14:paraId="4335CA8D">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目标 2 ：老街基础设施得到改善提升。</w:t>
      </w:r>
    </w:p>
    <w:p w14:paraId="095AC427">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目标 3 ：债券存续期内实现年度收支平衡和总体收支平衡。</w:t>
      </w:r>
    </w:p>
    <w:p w14:paraId="5CA65B01">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目标 4 ：区域辐射人群满意度≧90%</w:t>
      </w:r>
      <w:r>
        <w:rPr>
          <w:rFonts w:hint="eastAsia"/>
          <w:spacing w:val="-3"/>
          <w:lang w:val="en-US" w:eastAsia="zh-CN"/>
        </w:rPr>
        <w:t>。</w:t>
      </w:r>
    </w:p>
    <w:p w14:paraId="1990D3E0">
      <w:pPr>
        <w:spacing w:line="227" w:lineRule="auto"/>
        <w:ind w:left="672"/>
        <w:outlineLvl w:val="2"/>
        <w:rPr>
          <w:rFonts w:ascii="黑体" w:hAnsi="黑体" w:eastAsia="黑体" w:cs="黑体"/>
          <w:sz w:val="31"/>
          <w:szCs w:val="31"/>
        </w:rPr>
      </w:pPr>
      <w:r>
        <w:rPr>
          <w:rFonts w:ascii="黑体" w:hAnsi="黑体" w:eastAsia="黑体" w:cs="黑体"/>
          <w:spacing w:val="8"/>
          <w:sz w:val="31"/>
          <w:szCs w:val="31"/>
        </w:rPr>
        <w:t>六、潜在影响项目的风险评估</w:t>
      </w:r>
    </w:p>
    <w:p w14:paraId="618CC590">
      <w:pPr>
        <w:spacing w:before="218" w:line="229" w:lineRule="auto"/>
        <w:ind w:right="30"/>
        <w:jc w:val="right"/>
        <w:outlineLvl w:val="1"/>
        <w:rPr>
          <w:rFonts w:ascii="楷体" w:hAnsi="楷体" w:eastAsia="楷体" w:cs="楷体"/>
          <w:sz w:val="31"/>
          <w:szCs w:val="31"/>
        </w:rPr>
      </w:pPr>
      <w:r>
        <w:rPr>
          <w:rFonts w:ascii="楷体" w:hAnsi="楷体" w:eastAsia="楷体" w:cs="楷体"/>
          <w:spacing w:val="8"/>
          <w:sz w:val="31"/>
          <w:szCs w:val="31"/>
        </w:rPr>
        <w:t>（一）影响项目施工进度或正常运营的风险及控制措施</w:t>
      </w:r>
    </w:p>
    <w:p w14:paraId="73D01E6E">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1.来源于政策与环境风险因素</w:t>
      </w:r>
    </w:p>
    <w:p w14:paraId="68F449E8">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任何项目都是在一定的经济、市场、法律、政策等环境下存在和发展的，外界环境如财税、金融、法律法规的变化、通货膨胀、自然环境的变化等都可能会在不同程度上对项目产生一定的影响。</w:t>
      </w:r>
    </w:p>
    <w:p w14:paraId="390A8297">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对策：由于此类风险是外界客观存在的，不以人的意志为转移，项目有关各方不能防止风险的发生，但可通过合理的分散或转移等手段来降低由于风险带来的损失。此外，项目有关各方也应密切注意与项目有关的财税、产业政策和法律法规及技术标准等的变更或可能发生的变化，以便及时制定相应的应对措施。</w:t>
      </w:r>
    </w:p>
    <w:p w14:paraId="0B4EE2E5">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2.来源于施工方的风险因素</w:t>
      </w:r>
    </w:p>
    <w:p w14:paraId="03738946">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来自施工单位的风险因素较多，如施工组织安排不合理、施工工艺和技术落后、施工准备不充分等。</w:t>
      </w:r>
    </w:p>
    <w:p w14:paraId="367A8EE5">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1）项目经理部配置的管理人员不能满足施工需要，管理水平低、经验不足，致使工程组织混乱不能按预定进度计划完成。施工人员资质、资格、经验、水平及人数不能满足施工需要。应对措施是在合同等相关文件中约定项目主要管理人员，施工方不得随意更换或调整；不能满足施工要求的，开发商有权通知施工单位在期限内完成调整，施工方无条件执行；并在当期计价付款作为审查考核条件。监理对施工单位进场资质报审的审查要严格，检查或抽查现场人员在岗及数量情况，特别是项目管理人员，并对项目进行评判并有权做出处罚。施工的单位选择高素质的劳务队，并保证数量。</w:t>
      </w:r>
    </w:p>
    <w:p w14:paraId="0AC4BBA9">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2）施工组织设计不合理、施工进度计划不合理、采用施工方案不得当。施工工序安排不合理，不能解决工序之间在时间上的先后和搭接问题，以达到保证质量，充分利用空间、争取时间，实现合理安排工期的目的。应对措施是施工总设计应经施工单位主管部门及领导审核后，报监理和开发商审批，监理和开发商提出修改意见或合理化建议；制定科学详细的施工进度计划，并利用合同措施、经济措施、组织措施、技术措施加强对施工进度计划的跟踪、分析、调控；总包和分包单位负责人应该每周将施工进度上报，定期及时开展监理例会、施工协调配合会，及时解决各专业配合、穿插施工问题。</w:t>
      </w:r>
    </w:p>
    <w:p w14:paraId="3810BC90">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3）施工技术控制措施。施工技术是影响施工进度的关键因素，优良的施工技术是提高进度，减少成本的有力措施。承包商应注意开工前的调查工作和图纸会审工作，如果对图纸有疑问的应及时与设计单位联系解决问题。施工方还应该安排有技术有经验的人员研究招标文件、施工技术规范与合同文件等，做好施工工艺流程的准备工作，事前就开始抓紧质量生产。开工前根据工程的特点编制好施工组织设计，提前做好各分项工程的材料试验、检测，确定混凝土砂浆设计配合比，及时申报、尽早开工。采用新施工技术以缩短工艺技术间歇时间、采取更先进的施工方法以减少施工过程或时间（如将现浇框架方案改为预制装配方案）、采用更先进的施工机械的技术措施。</w:t>
      </w:r>
    </w:p>
    <w:p w14:paraId="1181D3BE">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甲方也要通过公开招投标，选择有较高施工技术与管理水平，经济实力雄厚并拥有先进施工设备的施工队伍，确保工程的质量与进度;通过选择资信好、技术可靠的设计、施工承包商，签订规范的合同（包括在承包商不能履行合同时确定损失额的条款），切实做好合同管理的工作，可以达到抵御风险的目的。</w:t>
      </w:r>
    </w:p>
    <w:p w14:paraId="11030298">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3.来源于设计单位的风险因素</w:t>
      </w:r>
    </w:p>
    <w:p w14:paraId="7493CFFF">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在施工过程中，由于原设计有问题需要修改，或者由于业主提出了新的要求，都会出现设计变更。也可能由于设计深度不足和设计水平不高导致出现设计错误和疏漏风险，如结构计算错误、无地勘报告或者地勘报告有误、其他计算错误、制图错误、设备材料选用错误等，进而引起工程纠纷，严重的导致工程设计质量事故。</w:t>
      </w:r>
    </w:p>
    <w:p w14:paraId="0C5E7DEF">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设计质量风险控制措施，需要建立相应措施，确保设计过程质量可控，需要细化控制措施，责任落实到人。建立事前控制措施，防范违反建设程序和法律法规的风险。建立事中控制措施，对设计过程程序进行检查，强化设计人员质量意识，减少设计错漏碰缺，降低设计质量风险。建立事后控制措施，对设计成品文件进行检查，杜绝对外提交文件违反强制性条文情况的出现，并对施工图设计质量进行评价。</w:t>
      </w:r>
    </w:p>
    <w:p w14:paraId="315277D7">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（1）不能按设计合同的约定及时提供施工所需的图纸。措施：相关专业人员加强是各个节点检查与审核，按设计合同的约定，对设计方给予处罚。</w:t>
      </w:r>
    </w:p>
    <w:p w14:paraId="1FE9203D">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（2）为项目设计配置的设计人员不合理，各专业之间缺乏协调配合，致使各专业之间出现设计矛盾。</w:t>
      </w:r>
    </w:p>
    <w:p w14:paraId="00F9190F">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措施：设计单位技术负责人加强各专业设计的协调、配合、交流工作，避免专业设计的冲突与矛盾，开发单位应有设计经验丰富的专业人员进行检查和跟踪。</w:t>
      </w:r>
    </w:p>
    <w:p w14:paraId="70A7FA7D">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（3）设计内容不足、设计深度不够。</w:t>
      </w:r>
    </w:p>
    <w:p w14:paraId="5B286E9B">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措施：调配高素质的专业人员，优质地完成设计资料，避免资料的原则性错误及遗漏,开发单位应有设计经验丰富的专业人员进行检查和跟踪。并在合同中对设计内容设计深度予以约定。</w:t>
      </w:r>
    </w:p>
    <w:p w14:paraId="01A9F640">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（4）无健全的设计质量管理体系，图纸的“缺、漏、碰、错”现象严重，导致设计变更大量增加。</w:t>
      </w:r>
    </w:p>
    <w:p w14:paraId="59220C1D">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措施：因设计单位审核人员及审图单位工作不认真导致的，在合同中对此类引起的变更对设计单位追究</w:t>
      </w:r>
    </w:p>
    <w:p w14:paraId="420E5EBC">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（5）与各专业设计院协调配合工作不及时、不到位，致使出现图纸不配套的情况，造成施工中出现边施工、边修改的局面。</w:t>
      </w:r>
    </w:p>
    <w:p w14:paraId="43EA888A">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措施：甲方应在设计合同内对图纸质量和赔偿的条约明细，施工单位按设计变更进行。</w:t>
      </w:r>
    </w:p>
    <w:p w14:paraId="7C03DC40">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4. 资金风险</w:t>
      </w:r>
    </w:p>
    <w:p w14:paraId="46369CEF">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资金风险包括资金不到位，资金被建设单位截留或者挪用，承包商把资金挪为它用等。项目建设所需要的资金，除了资本金外，主要来源于发行债券。一旦国家经济形势发生变化，产业政策和债券发行政策进行调整，都可能给本项目的资金筹措带来风险。资金一旦落实不到位，将直接影响工程进度。</w:t>
      </w:r>
    </w:p>
    <w:p w14:paraId="44D3F7F2">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针对资金风险，首先是加强项目管理，按计划完工；二是加强财务管理，保持合理的资产负债比例，并提高资金使用效率，增加资本金数量；三是准确把握国家宏观经济形势、国家产业政策和证券发行债券政策变化，及时调整策略。建设单位要抓好资金这一关键点，保证工程款按时足额到位；对每一笔工程款支出严格审核，防止在项目实施过程中资金超出预算，在项目建设前期进行科学分析，对影响造价较大的因素重点分析把控。</w:t>
      </w:r>
    </w:p>
    <w:p w14:paraId="60E7C603">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5.工程事故</w:t>
      </w:r>
    </w:p>
    <w:p w14:paraId="738D27C1">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工程质量和安全事故，不仅会造成经济损失，检查和处理事故势必对工程进度造成影响。</w:t>
      </w:r>
    </w:p>
    <w:p w14:paraId="2153E53B">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针对工程事故，首先，应做好事前预防工作，监督和要求施工单位完善质量控制和保障措施、建立健全工程项目安全生产制度，制定工程事故应急预案。落实质量控制专职人员，就施工工艺流程、施工方法、材料设备质量等方面严格把关。建立有符合本项目特点的安全生产制度，参与项目的管理、监理、施工及相关人员都必须认真执行制度的规定和要求。工程项目安全生产制度要符合国家、地方、相关行业及单位的有关安全生产政策、法规、条例、规范和标准。</w:t>
      </w:r>
    </w:p>
    <w:p w14:paraId="312F7ACA">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其次，做好质量和安全检查。对质量和安全检查结果必须认真对待，需要整改的必须限定整改完成时间，落实整改方案和责任人。</w:t>
      </w:r>
    </w:p>
    <w:p w14:paraId="023A5394">
      <w:pPr>
        <w:spacing w:before="1" w:line="228" w:lineRule="auto"/>
        <w:ind w:left="688"/>
        <w:outlineLvl w:val="1"/>
        <w:rPr>
          <w:rFonts w:ascii="楷体" w:hAnsi="楷体" w:eastAsia="楷体" w:cs="楷体"/>
          <w:sz w:val="31"/>
          <w:szCs w:val="31"/>
        </w:rPr>
      </w:pPr>
      <w:r>
        <w:rPr>
          <w:rFonts w:ascii="楷体" w:hAnsi="楷体" w:eastAsia="楷体" w:cs="楷体"/>
          <w:spacing w:val="7"/>
          <w:sz w:val="31"/>
          <w:szCs w:val="31"/>
        </w:rPr>
        <w:t>（二）影响融资平衡结果的风险及控制措施</w:t>
      </w:r>
    </w:p>
    <w:p w14:paraId="36A15F0B">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1.投资测算不准确风险</w:t>
      </w:r>
    </w:p>
    <w:p w14:paraId="05122BCB">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项目融资平衡最大的风险在于对项目进度以及项目整体现金流测算等重要环节出现判断偏差。规划设计规模偏大或偏小直接导致投资总额设计偏大或偏小；对项目进度错判将导致融资节奏错乱，导致资金不能及时足额注入到项目或者大额资金不能充分运用的后果；整体现金流测算出现偏差将导致项目可行性分析不能及时纠偏，项目资金投入和现金流入不能平衡的结果。</w:t>
      </w:r>
    </w:p>
    <w:p w14:paraId="6B7FC267">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对策：根据稳健性原则，在进行投资估算时，适当考虑计入一定比例的不可预见费；测算各项资金当年的到位额亦留有一定余地。在实施过程中，定期（一般按年）对估算投资进行审核验证，如发现对估算投资产生重大影响的变化，及时对估算投资进行调整，并调整融资策略。</w:t>
      </w:r>
    </w:p>
    <w:p w14:paraId="57F245FA">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2.利率波动风险</w:t>
      </w:r>
    </w:p>
    <w:p w14:paraId="5B1669D5">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受国内外宏观经济形势和国内经济政策变动的影响，资本市场利率水平可能产生不利变动，进而在本项目债权存续期限内影响项目的财务成本，可能使项目的财务成本超过预期水平，对项目的融资平衡产生较大影响。</w:t>
      </w:r>
    </w:p>
    <w:p w14:paraId="4E38BEDC">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对策：针对利率波动对项目财务成本的影响问题，可通过合理调整债券的期限结构、还款方式和时间等方式，优化期限配比、充分利用资金、做好还款计划和还款准备，及时进行动态调整，最大程度降低利率波动带来的损失。</w:t>
      </w:r>
    </w:p>
    <w:p w14:paraId="65F656AA">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3.存续债券置换不畅风险</w:t>
      </w:r>
    </w:p>
    <w:p w14:paraId="3F8F148B">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根据《地方政府专项债务预算管理办法》（财预〔2016〕155号）第六条规定，专项债务本金通过对应的政府性基金收入、专项收入、发行专项债券等偿还。由于项目经营收入回款较慢，若本期政府专项债券到期时项目收入不足以偿还本期债券，发行人将发行新一期政府专项债券置换本期债券。因此，存在由于新一期政府专项债券不能足额及时募集而造成本期政府专项债券不能按期足额兑付的风险。为防止发生存续债券不能顺畅置换的风险，发行人将会同主承销商及承销团成员提前准备发行资料，选取合适发行时间窗口，根据市场行情科学定价，力争在存续债券兑付日之前及时足额地募集到还款资金。</w:t>
      </w:r>
    </w:p>
    <w:p w14:paraId="4210FA2F">
      <w:pPr>
        <w:spacing w:line="228" w:lineRule="auto"/>
        <w:ind w:left="661"/>
        <w:outlineLvl w:val="2"/>
        <w:rPr>
          <w:rFonts w:ascii="黑体" w:hAnsi="黑体" w:eastAsia="黑体" w:cs="黑体"/>
          <w:sz w:val="31"/>
          <w:szCs w:val="31"/>
        </w:rPr>
      </w:pPr>
      <w:r>
        <w:rPr>
          <w:rFonts w:ascii="黑体" w:hAnsi="黑体" w:eastAsia="黑体" w:cs="黑体"/>
          <w:spacing w:val="8"/>
          <w:sz w:val="31"/>
          <w:szCs w:val="31"/>
        </w:rPr>
        <w:t>七、还款保障情况</w:t>
      </w:r>
    </w:p>
    <w:p w14:paraId="6492A390">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1FB61937">
      <w:pPr>
        <w:spacing w:line="226" w:lineRule="auto"/>
        <w:ind w:left="662"/>
        <w:rPr>
          <w:rFonts w:ascii="黑体" w:hAnsi="黑体" w:eastAsia="黑体" w:cs="黑体"/>
          <w:sz w:val="31"/>
          <w:szCs w:val="31"/>
        </w:rPr>
      </w:pPr>
      <w:r>
        <w:rPr>
          <w:rFonts w:ascii="黑体" w:hAnsi="黑体" w:eastAsia="黑体" w:cs="黑体"/>
          <w:spacing w:val="9"/>
          <w:sz w:val="31"/>
          <w:szCs w:val="31"/>
        </w:rPr>
        <w:t>八、主管部门职责和项目单位职责</w:t>
      </w:r>
    </w:p>
    <w:p w14:paraId="45E87075">
      <w:pPr>
        <w:spacing w:before="219" w:line="229" w:lineRule="auto"/>
        <w:ind w:left="688"/>
        <w:outlineLvl w:val="1"/>
        <w:rPr>
          <w:rFonts w:ascii="楷体" w:hAnsi="楷体" w:eastAsia="楷体" w:cs="楷体"/>
          <w:sz w:val="31"/>
          <w:szCs w:val="31"/>
        </w:rPr>
      </w:pPr>
      <w:r>
        <w:rPr>
          <w:rFonts w:ascii="楷体" w:hAnsi="楷体" w:eastAsia="楷体" w:cs="楷体"/>
          <w:spacing w:val="5"/>
          <w:sz w:val="31"/>
          <w:szCs w:val="31"/>
        </w:rPr>
        <w:t>（一）主管部门职责</w:t>
      </w:r>
    </w:p>
    <w:p w14:paraId="2ABACCDB">
      <w:pPr>
        <w:pStyle w:val="2"/>
        <w:keepNext w:val="0"/>
        <w:keepLines w:val="0"/>
        <w:pageBreakBefore w:val="0"/>
        <w:widowControl/>
        <w:kinsoku w:val="0"/>
        <w:wordWrap/>
        <w:overflowPunct/>
        <w:topLinePunct w:val="0"/>
        <w:autoSpaceDE w:val="0"/>
        <w:autoSpaceDN w:val="0"/>
        <w:bidi w:val="0"/>
        <w:adjustRightInd/>
        <w:snapToGrid/>
        <w:spacing w:line="560" w:lineRule="exact"/>
        <w:ind w:left="0" w:firstLine="548" w:firstLineChars="200"/>
        <w:textAlignment w:val="baseline"/>
        <w:rPr>
          <w:rFonts w:hint="default"/>
          <w:spacing w:val="-3"/>
          <w:lang w:val="en-US" w:eastAsia="zh-CN"/>
        </w:rPr>
      </w:pPr>
      <w:r>
        <w:rPr>
          <w:rFonts w:hint="default"/>
          <w:spacing w:val="-3"/>
          <w:lang w:val="en-US" w:eastAsia="zh-CN"/>
        </w:rPr>
        <w:t>本项目主管部门是成都市</w:t>
      </w:r>
      <w:r>
        <w:rPr>
          <w:rFonts w:hint="eastAsia"/>
          <w:spacing w:val="-3"/>
          <w:lang w:val="en-US" w:eastAsia="zh-CN"/>
        </w:rPr>
        <w:t>新津</w:t>
      </w:r>
      <w:r>
        <w:rPr>
          <w:rFonts w:hint="default"/>
          <w:spacing w:val="-3"/>
          <w:lang w:val="en-US" w:eastAsia="zh-CN"/>
        </w:rPr>
        <w:t>区公园城市建设局。其职责为按照专项债券发行和管理的要求并根据具体项目的收入、成本等因素，建立本地区专项债券项目库，做好入库项目的规划期限、投资计划、收益和融资平衡方案、预期收入等测算，做好专项债券年度项目库与政府债务管理系统的衔接，配合做好专项债券发行各项准备工作，加强对项目实施情况的监控，并统筹协调相关部门保障项目建设进度，如期实现项目收入，确保专项债券到期后，项目收入和收益全部覆盖以发行债券本息。</w:t>
      </w:r>
    </w:p>
    <w:p w14:paraId="1C38E7AA">
      <w:pPr>
        <w:spacing w:before="1" w:line="229" w:lineRule="auto"/>
        <w:ind w:left="688"/>
        <w:outlineLvl w:val="1"/>
        <w:rPr>
          <w:rFonts w:ascii="楷体" w:hAnsi="楷体" w:eastAsia="楷体" w:cs="楷体"/>
          <w:sz w:val="31"/>
          <w:szCs w:val="31"/>
        </w:rPr>
      </w:pPr>
      <w:r>
        <w:rPr>
          <w:rFonts w:ascii="楷体" w:hAnsi="楷体" w:eastAsia="楷体" w:cs="楷体"/>
          <w:spacing w:val="5"/>
          <w:sz w:val="31"/>
          <w:szCs w:val="31"/>
        </w:rPr>
        <w:t>（二）项目单位职责</w:t>
      </w:r>
    </w:p>
    <w:p w14:paraId="3AF1FF56">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both"/>
        <w:textAlignment w:val="baseline"/>
        <w:rPr>
          <w:spacing w:val="-4"/>
        </w:rPr>
      </w:pPr>
      <w:r>
        <w:rPr>
          <w:spacing w:val="-4"/>
        </w:rPr>
        <w:t>本项目业主是</w:t>
      </w:r>
      <w:r>
        <w:rPr>
          <w:rFonts w:hint="default"/>
          <w:spacing w:val="-4"/>
        </w:rPr>
        <w:t>成都市新津文旅投资集团有限公司</w:t>
      </w:r>
      <w:r>
        <w:rPr>
          <w:spacing w:val="-4"/>
        </w:rPr>
        <w:t>。其职责为提出专项债券项目需求申请，编制报送项目实施方案及相关资料，配合做好债券发行准备。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w:t>
      </w:r>
    </w:p>
    <w:p w14:paraId="13E090A0">
      <w:pPr>
        <w:spacing w:line="226" w:lineRule="auto"/>
        <w:ind w:left="670"/>
        <w:outlineLvl w:val="2"/>
        <w:rPr>
          <w:rFonts w:ascii="黑体" w:hAnsi="黑体" w:eastAsia="黑体" w:cs="黑体"/>
          <w:sz w:val="31"/>
          <w:szCs w:val="31"/>
        </w:rPr>
      </w:pPr>
      <w:bookmarkStart w:id="0" w:name="_GoBack"/>
      <w:bookmarkEnd w:id="0"/>
      <w:r>
        <w:rPr>
          <w:rFonts w:ascii="黑体" w:hAnsi="黑体" w:eastAsia="黑体" w:cs="黑体"/>
          <w:spacing w:val="6"/>
          <w:sz w:val="31"/>
          <w:szCs w:val="31"/>
        </w:rPr>
        <w:t>九、补充说明</w:t>
      </w:r>
    </w:p>
    <w:p w14:paraId="4EA3518F">
      <w:pPr>
        <w:pStyle w:val="2"/>
        <w:keepNext w:val="0"/>
        <w:keepLines w:val="0"/>
        <w:pageBreakBefore w:val="0"/>
        <w:widowControl/>
        <w:kinsoku w:val="0"/>
        <w:wordWrap/>
        <w:overflowPunct/>
        <w:topLinePunct w:val="0"/>
        <w:autoSpaceDE w:val="0"/>
        <w:autoSpaceDN w:val="0"/>
        <w:bidi w:val="0"/>
        <w:adjustRightInd/>
        <w:snapToGrid/>
        <w:spacing w:line="560" w:lineRule="exact"/>
        <w:ind w:left="0" w:right="0" w:firstLine="544" w:firstLineChars="200"/>
        <w:jc w:val="both"/>
        <w:textAlignment w:val="baseline"/>
        <w:rPr>
          <w:spacing w:val="-4"/>
        </w:rPr>
      </w:pPr>
      <w:r>
        <w:rPr>
          <w:spacing w:val="-4"/>
        </w:rPr>
        <w:t>此项目债券资金总需求</w:t>
      </w:r>
      <w:r>
        <w:rPr>
          <w:rFonts w:hint="eastAsia"/>
          <w:spacing w:val="-4"/>
          <w:lang w:val="en-US" w:eastAsia="zh-CN"/>
        </w:rPr>
        <w:t>1300.00</w:t>
      </w:r>
      <w:r>
        <w:rPr>
          <w:spacing w:val="-4"/>
        </w:rPr>
        <w:t>万元，根据地方政府债务限额管理要求和项目实施进展情况，本次拟继续发行</w:t>
      </w:r>
      <w:r>
        <w:rPr>
          <w:rFonts w:hint="eastAsia"/>
          <w:spacing w:val="-4"/>
          <w:lang w:val="en-US" w:eastAsia="zh-CN"/>
        </w:rPr>
        <w:t>1300.00</w:t>
      </w:r>
      <w:r>
        <w:rPr>
          <w:spacing w:val="-4"/>
        </w:rPr>
        <w:t>万元，期限20年。该项目实施内容及收益来源未发生变动，在不超过项目债券总需求情况下，</w:t>
      </w:r>
      <w:r>
        <w:rPr>
          <w:rFonts w:hint="eastAsia"/>
          <w:spacing w:val="-4"/>
          <w:lang w:val="en-US" w:eastAsia="zh-CN"/>
        </w:rPr>
        <w:t>此次</w:t>
      </w:r>
      <w:r>
        <w:rPr>
          <w:spacing w:val="-4"/>
        </w:rPr>
        <w:t>发行对项目整体融资平衡不构成实质影响。</w:t>
      </w:r>
    </w:p>
    <w:sectPr>
      <w:footerReference r:id="rId7" w:type="default"/>
      <w:pgSz w:w="11906" w:h="16839"/>
      <w:pgMar w:top="1431" w:right="1574" w:bottom="1310" w:left="1785" w:header="0" w:footer="94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106F6">
    <w:pPr>
      <w:spacing w:before="1" w:line="182" w:lineRule="auto"/>
      <w:ind w:right="7"/>
      <w:jc w:val="right"/>
      <w:rPr>
        <w:rFonts w:ascii="Times New Roman" w:hAnsi="Times New Roman" w:eastAsia="Times New Roman" w:cs="Times New Roman"/>
        <w:sz w:val="31"/>
        <w:szCs w:val="31"/>
      </w:rPr>
    </w:pPr>
    <w:r>
      <w:rPr>
        <w:sz w:val="3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006D42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006D42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C686B">
    <w:pPr>
      <w:spacing w:line="185" w:lineRule="auto"/>
      <w:ind w:left="341"/>
      <w:rPr>
        <w:rFonts w:ascii="Times New Roman" w:hAnsi="Times New Roman" w:eastAsia="Times New Roman" w:cs="Times New Roman"/>
        <w:sz w:val="31"/>
        <w:szCs w:val="31"/>
      </w:rPr>
    </w:pPr>
    <w:r>
      <w:rPr>
        <w:sz w:val="3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BC7D21A">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5BC7D21A">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A389D">
    <w:pPr>
      <w:spacing w:line="233" w:lineRule="auto"/>
      <w:ind w:left="25"/>
      <w:rPr>
        <w:rFonts w:ascii="宋体" w:hAnsi="宋体" w:eastAsia="宋体" w:cs="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A25B914">
                          <w:pPr>
                            <w:pStyle w:val="3"/>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0A25B914">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4E90B5B"/>
    <w:rsid w:val="15631232"/>
    <w:rsid w:val="21B1594D"/>
    <w:rsid w:val="23FD75B9"/>
    <w:rsid w:val="268F16F6"/>
    <w:rsid w:val="2D5F60B5"/>
    <w:rsid w:val="30071C3E"/>
    <w:rsid w:val="3A6C438A"/>
    <w:rsid w:val="3D021243"/>
    <w:rsid w:val="47CF1BEB"/>
    <w:rsid w:val="483D6B6B"/>
    <w:rsid w:val="49AC5A24"/>
    <w:rsid w:val="5C6B0B11"/>
    <w:rsid w:val="5F684676"/>
    <w:rsid w:val="69456BFD"/>
    <w:rsid w:val="6F3C65DA"/>
    <w:rsid w:val="74885E20"/>
    <w:rsid w:val="764B01B4"/>
    <w:rsid w:val="78260221"/>
    <w:rsid w:val="7E7837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Times New Roman" w:hAnsi="Times New Roman" w:eastAsia="Times New Roman" w:cs="Times New Roman"/>
      <w:sz w:val="18"/>
      <w:szCs w:val="18"/>
      <w:lang w:val="en-US" w:eastAsia="en-US" w:bidi="ar-SA"/>
    </w:rPr>
  </w:style>
  <w:style w:type="character" w:customStyle="1" w:styleId="9">
    <w:name w:val="font21"/>
    <w:basedOn w:val="6"/>
    <w:uiPriority w:val="0"/>
    <w:rPr>
      <w:rFonts w:hint="eastAsia" w:ascii="宋体" w:hAnsi="宋体" w:eastAsia="宋体" w:cs="宋体"/>
      <w:b/>
      <w:bCs/>
      <w:color w:val="000000"/>
      <w:sz w:val="20"/>
      <w:szCs w:val="20"/>
      <w:u w:val="none"/>
    </w:rPr>
  </w:style>
  <w:style w:type="character" w:customStyle="1" w:styleId="10">
    <w:name w:val="font31"/>
    <w:basedOn w:val="6"/>
    <w:qFormat/>
    <w:uiPriority w:val="0"/>
    <w:rPr>
      <w:rFonts w:hint="eastAsia" w:ascii="宋体" w:hAnsi="宋体" w:eastAsia="宋体" w:cs="宋体"/>
      <w:color w:val="000000"/>
      <w:sz w:val="20"/>
      <w:szCs w:val="20"/>
      <w:u w:val="none"/>
    </w:rPr>
  </w:style>
  <w:style w:type="character" w:customStyle="1" w:styleId="11">
    <w:name w:val="font41"/>
    <w:basedOn w:val="6"/>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7710</Words>
  <Characters>9654</Characters>
  <TotalTime>11</TotalTime>
  <ScaleCrop>false</ScaleCrop>
  <LinksUpToDate>false</LinksUpToDate>
  <CharactersWithSpaces>10015</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2025-01-14T13:54:00Z</dcterms:created>
  <dc:creator>lenovo</dc:creator>
  <cp:lastModifiedBy>weirdo</cp:lastModifiedBy>
  <dcterms:modified xsi:type="dcterms:W3CDTF">2025-03-17T10:18:24Z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2025-03-17T17:22:02Z</vt:filetime>
  </property>
  <property fmtid="{D5CDD505-2E9C-101B-9397-08002B2CF9AE}" pid="4" name="KSOTemplateDocerSaveRecord">
    <vt:lpwstr>eyJoZGlkIjoiYTg1ZTVkZjU5YzE1NWIxYTBjMWNiNWIxNWUwZjU3NzIiLCJ1c2VySWQiOiI5MjUzMTUzMDkifQ==</vt:lpwstr>
  </property>
  <property fmtid="{D5CDD505-2E9C-101B-9397-08002B2CF9AE}" pid="5" name="KSOProductBuildVer">
    <vt:lpwstr>2052-12.1.0.20305</vt:lpwstr>
  </property>
  <property fmtid="{D5CDD505-2E9C-101B-9397-08002B2CF9AE}" pid="6" name="ICV">
    <vt:lpwstr>4936F60D3CDD4703BB540B09A9B31011_12</vt:lpwstr>
  </property>
</Properties>
</file>